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spacing w:line="284" w:lineRule="auto"/>
        <w:ind w:left="0" w:leftChars="0" w:firstLine="0" w:firstLineChars="0"/>
      </w:pPr>
      <w:r>
        <w:drawing>
          <wp:inline distT="0" distB="0" distL="114300" distR="114300">
            <wp:extent cx="1855470" cy="951230"/>
            <wp:effectExtent l="0" t="0" r="1143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1855470" cy="951230"/>
                    </a:xfrm>
                    <a:prstGeom prst="rect">
                      <a:avLst/>
                    </a:prstGeom>
                    <a:noFill/>
                    <a:ln>
                      <a:noFill/>
                    </a:ln>
                  </pic:spPr>
                </pic:pic>
              </a:graphicData>
            </a:graphic>
          </wp:inline>
        </w:drawing>
      </w:r>
    </w:p>
    <w:p>
      <w:pPr>
        <w:jc w:val="center"/>
        <w:rPr>
          <w:rFonts w:hint="eastAsia" w:ascii="幼圆" w:hAnsi="幼圆" w:eastAsia="幼圆" w:cs="幼圆"/>
          <w:b/>
          <w:bCs/>
          <w:sz w:val="48"/>
          <w:szCs w:val="40"/>
          <w:lang w:val="en-US" w:eastAsia="zh-CN"/>
        </w:rPr>
      </w:pPr>
    </w:p>
    <w:p>
      <w:pPr>
        <w:jc w:val="center"/>
        <w:rPr>
          <w:rFonts w:hint="eastAsia" w:ascii="幼圆" w:hAnsi="幼圆" w:eastAsia="幼圆" w:cs="幼圆"/>
          <w:b/>
          <w:bCs/>
          <w:sz w:val="48"/>
          <w:szCs w:val="40"/>
          <w:lang w:val="en-US" w:eastAsia="zh-CN"/>
        </w:rPr>
      </w:pPr>
    </w:p>
    <w:p>
      <w:pPr>
        <w:jc w:val="center"/>
        <w:rPr>
          <w:rFonts w:hint="default" w:ascii="幼圆" w:hAnsi="幼圆" w:eastAsia="幼圆" w:cs="幼圆"/>
          <w:b/>
          <w:bCs/>
          <w:sz w:val="48"/>
          <w:szCs w:val="40"/>
          <w:lang w:val="en-US" w:eastAsia="zh-CN"/>
        </w:rPr>
      </w:pPr>
      <w:r>
        <w:rPr>
          <w:rFonts w:hint="eastAsia" w:ascii="幼圆" w:hAnsi="幼圆" w:eastAsia="幼圆" w:cs="幼圆"/>
          <w:b/>
          <w:bCs/>
          <w:sz w:val="48"/>
          <w:szCs w:val="40"/>
          <w:lang w:val="en-US" w:eastAsia="zh-CN"/>
        </w:rPr>
        <w:t>{{project.name}}</w:t>
      </w:r>
    </w:p>
    <w:p>
      <w:pPr>
        <w:jc w:val="center"/>
        <w:rPr>
          <w:rFonts w:hint="eastAsia"/>
          <w:b/>
          <w:bCs/>
          <w:sz w:val="40"/>
          <w:szCs w:val="32"/>
          <w:lang w:val="en-US" w:eastAsia="zh-CN"/>
        </w:rPr>
      </w:pPr>
    </w:p>
    <w:p>
      <w:pPr>
        <w:keepNext w:val="0"/>
        <w:keepLines w:val="0"/>
        <w:pageBreakBefore w:val="0"/>
        <w:widowControl w:val="0"/>
        <w:kinsoku/>
        <w:wordWrap/>
        <w:overflowPunct/>
        <w:topLinePunct w:val="0"/>
        <w:autoSpaceDE/>
        <w:autoSpaceDN/>
        <w:bidi w:val="0"/>
        <w:adjustRightInd/>
        <w:snapToGrid/>
        <w:spacing w:line="720" w:lineRule="auto"/>
        <w:jc w:val="center"/>
        <w:textAlignment w:val="auto"/>
        <w:outlineLvl w:val="0"/>
        <w:rPr>
          <w:rFonts w:hint="eastAsia"/>
          <w:b/>
          <w:bCs/>
          <w:sz w:val="48"/>
          <w:szCs w:val="40"/>
          <w:lang w:val="en-US" w:eastAsia="zh-CN"/>
        </w:rPr>
      </w:pPr>
    </w:p>
    <w:p>
      <w:pPr>
        <w:keepNext w:val="0"/>
        <w:keepLines w:val="0"/>
        <w:pageBreakBefore w:val="0"/>
        <w:widowControl w:val="0"/>
        <w:kinsoku/>
        <w:wordWrap/>
        <w:overflowPunct/>
        <w:topLinePunct w:val="0"/>
        <w:autoSpaceDE/>
        <w:autoSpaceDN/>
        <w:bidi w:val="0"/>
        <w:adjustRightInd/>
        <w:snapToGrid/>
        <w:spacing w:line="720" w:lineRule="auto"/>
        <w:jc w:val="center"/>
        <w:textAlignment w:val="auto"/>
        <w:outlineLvl w:val="0"/>
        <w:rPr>
          <w:rFonts w:hint="eastAsia"/>
          <w:b/>
          <w:bCs/>
          <w:sz w:val="48"/>
          <w:szCs w:val="40"/>
          <w:lang w:val="en-US" w:eastAsia="zh-CN"/>
        </w:rPr>
      </w:pPr>
      <w:bookmarkStart w:id="0" w:name="_Toc18074"/>
      <w:r>
        <w:rPr>
          <w:rFonts w:hint="eastAsia"/>
          <w:b/>
          <w:bCs/>
          <w:sz w:val="48"/>
          <w:szCs w:val="40"/>
          <w:lang w:val="en-US" w:eastAsia="zh-CN"/>
        </w:rPr>
        <w:t>初</w:t>
      </w:r>
      <w:bookmarkEnd w:id="0"/>
    </w:p>
    <w:p>
      <w:pPr>
        <w:keepNext w:val="0"/>
        <w:keepLines w:val="0"/>
        <w:pageBreakBefore w:val="0"/>
        <w:widowControl w:val="0"/>
        <w:kinsoku/>
        <w:wordWrap/>
        <w:overflowPunct/>
        <w:topLinePunct w:val="0"/>
        <w:autoSpaceDE/>
        <w:autoSpaceDN/>
        <w:bidi w:val="0"/>
        <w:adjustRightInd/>
        <w:snapToGrid/>
        <w:spacing w:line="720" w:lineRule="auto"/>
        <w:jc w:val="center"/>
        <w:textAlignment w:val="auto"/>
        <w:outlineLvl w:val="0"/>
        <w:rPr>
          <w:rFonts w:hint="eastAsia"/>
          <w:b/>
          <w:bCs/>
          <w:sz w:val="48"/>
          <w:szCs w:val="40"/>
          <w:lang w:val="en-US" w:eastAsia="zh-CN"/>
        </w:rPr>
      </w:pPr>
      <w:bookmarkStart w:id="1" w:name="_Toc17949"/>
      <w:r>
        <w:rPr>
          <w:rFonts w:hint="eastAsia"/>
          <w:b/>
          <w:bCs/>
          <w:sz w:val="48"/>
          <w:szCs w:val="40"/>
          <w:lang w:val="en-US" w:eastAsia="zh-CN"/>
        </w:rPr>
        <w:t>步</w:t>
      </w:r>
      <w:bookmarkEnd w:id="1"/>
    </w:p>
    <w:p>
      <w:pPr>
        <w:keepNext w:val="0"/>
        <w:keepLines w:val="0"/>
        <w:pageBreakBefore w:val="0"/>
        <w:widowControl w:val="0"/>
        <w:kinsoku/>
        <w:wordWrap/>
        <w:overflowPunct/>
        <w:topLinePunct w:val="0"/>
        <w:autoSpaceDE/>
        <w:autoSpaceDN/>
        <w:bidi w:val="0"/>
        <w:adjustRightInd/>
        <w:snapToGrid/>
        <w:spacing w:line="720" w:lineRule="auto"/>
        <w:jc w:val="center"/>
        <w:textAlignment w:val="auto"/>
        <w:outlineLvl w:val="0"/>
        <w:rPr>
          <w:rFonts w:hint="eastAsia"/>
          <w:b/>
          <w:bCs/>
          <w:sz w:val="48"/>
          <w:szCs w:val="40"/>
          <w:lang w:val="en-US" w:eastAsia="zh-CN"/>
        </w:rPr>
      </w:pPr>
      <w:bookmarkStart w:id="2" w:name="_Toc17904"/>
      <w:r>
        <w:rPr>
          <w:rFonts w:hint="eastAsia"/>
          <w:b/>
          <w:bCs/>
          <w:sz w:val="48"/>
          <w:szCs w:val="40"/>
          <w:lang w:val="en-US" w:eastAsia="zh-CN"/>
        </w:rPr>
        <w:t>方</w:t>
      </w:r>
      <w:bookmarkEnd w:id="2"/>
    </w:p>
    <w:p>
      <w:pPr>
        <w:keepNext w:val="0"/>
        <w:keepLines w:val="0"/>
        <w:pageBreakBefore w:val="0"/>
        <w:widowControl w:val="0"/>
        <w:kinsoku/>
        <w:wordWrap/>
        <w:overflowPunct/>
        <w:topLinePunct w:val="0"/>
        <w:autoSpaceDE/>
        <w:autoSpaceDN/>
        <w:bidi w:val="0"/>
        <w:adjustRightInd/>
        <w:snapToGrid/>
        <w:spacing w:line="720" w:lineRule="auto"/>
        <w:jc w:val="center"/>
        <w:textAlignment w:val="auto"/>
        <w:rPr>
          <w:rFonts w:hint="eastAsia"/>
          <w:b/>
          <w:bCs/>
          <w:sz w:val="48"/>
          <w:szCs w:val="40"/>
          <w:lang w:val="en-US" w:eastAsia="zh-CN"/>
        </w:rPr>
      </w:pPr>
      <w:r>
        <w:rPr>
          <w:rFonts w:hint="eastAsia"/>
          <w:b/>
          <w:bCs/>
          <w:sz w:val="48"/>
          <w:szCs w:val="40"/>
          <w:lang w:val="en-US" w:eastAsia="zh-CN"/>
        </w:rPr>
        <w:t>案</w:t>
      </w:r>
    </w:p>
    <w:p>
      <w:pPr>
        <w:jc w:val="center"/>
        <w:rPr>
          <w:rFonts w:hint="eastAsia"/>
          <w:lang w:val="en-US" w:eastAsia="zh-CN"/>
        </w:rPr>
      </w:pPr>
    </w:p>
    <w:p>
      <w:pPr>
        <w:jc w:val="center"/>
        <w:rPr>
          <w:rFonts w:hint="eastAsia"/>
          <w:lang w:val="en-US" w:eastAsia="zh-CN"/>
        </w:rPr>
      </w:pPr>
    </w:p>
    <w:p>
      <w:pPr>
        <w:ind w:left="0" w:leftChars="0" w:firstLine="0" w:firstLineChars="0"/>
        <w:jc w:val="both"/>
        <w:rPr>
          <w:rFonts w:hint="eastAsia"/>
          <w:lang w:val="en-US" w:eastAsia="zh-CN"/>
        </w:rPr>
      </w:pPr>
    </w:p>
    <w:p>
      <w:pPr>
        <w:spacing w:before="153" w:line="223" w:lineRule="auto"/>
        <w:ind w:left="1312" w:leftChars="0" w:hanging="1312" w:hangingChars="401"/>
        <w:jc w:val="center"/>
        <w:rPr>
          <w:rFonts w:hint="eastAsia" w:ascii="宋体" w:hAnsi="宋体" w:eastAsia="宋体" w:cs="宋体"/>
          <w:b/>
          <w:bCs/>
          <w:spacing w:val="3"/>
          <w:sz w:val="32"/>
          <w:szCs w:val="32"/>
          <w:lang w:val="en-US" w:eastAsia="zh-CN"/>
        </w:rPr>
      </w:pPr>
      <w:r>
        <w:rPr>
          <w:rFonts w:hint="eastAsia" w:ascii="宋体" w:hAnsi="宋体" w:eastAsia="宋体" w:cs="宋体"/>
          <w:b/>
          <w:bCs/>
          <w:spacing w:val="3"/>
          <w:sz w:val="32"/>
          <w:szCs w:val="32"/>
          <w:lang w:val="en-US" w:eastAsia="zh-CN"/>
        </w:rPr>
        <w:t>深圳华建电力综合能源有限公司</w:t>
      </w:r>
    </w:p>
    <w:p>
      <w:pPr>
        <w:ind w:left="0" w:leftChars="0" w:firstLine="0" w:firstLineChars="0"/>
        <w:jc w:val="center"/>
        <w:rPr>
          <w:rFonts w:hint="default"/>
          <w:lang w:val="en-US" w:eastAsia="zh-CN"/>
        </w:rPr>
        <w:sectPr>
          <w:pgSz w:w="11906" w:h="16838"/>
          <w:pgMar w:top="1440" w:right="1800" w:bottom="1440" w:left="1800" w:header="851" w:footer="992" w:gutter="0"/>
          <w:cols w:space="425" w:num="1"/>
          <w:docGrid w:type="lines" w:linePitch="312" w:charSpace="0"/>
        </w:sectPr>
      </w:pPr>
      <w:r>
        <w:rPr>
          <w:rFonts w:hint="eastAsia"/>
          <w:lang w:val="en-US" w:eastAsia="zh-CN"/>
        </w:rPr>
        <w:t>{{project.projectDate}}</w:t>
      </w:r>
    </w:p>
    <w:p>
      <w:pPr>
        <w:numPr>
          <w:ilvl w:val="0"/>
          <w:numId w:val="0"/>
        </w:numPr>
        <w:jc w:val="left"/>
        <w:outlineLvl w:val="0"/>
        <w:rPr>
          <w:rFonts w:hint="eastAsia" w:ascii="宋体" w:hAnsi="宋体" w:eastAsia="宋体" w:cs="宋体"/>
          <w:b/>
          <w:bCs/>
          <w:lang w:val="en-US" w:eastAsia="zh-CN"/>
        </w:rPr>
      </w:pPr>
      <w:bookmarkStart w:id="3" w:name="_Toc6541"/>
      <w:r>
        <w:rPr>
          <w:rFonts w:hint="eastAsia" w:ascii="宋体" w:hAnsi="宋体" w:eastAsia="宋体" w:cs="宋体"/>
          <w:b/>
          <w:bCs/>
          <w:lang w:val="en-US" w:eastAsia="zh-CN"/>
        </w:rPr>
        <w:t>1、</w:t>
      </w:r>
      <w:r>
        <w:rPr>
          <w:rFonts w:hint="eastAsia" w:ascii="宋体" w:hAnsi="宋体" w:eastAsia="宋体" w:cs="宋体"/>
          <w:b/>
          <w:bCs/>
          <w:sz w:val="28"/>
          <w:szCs w:val="22"/>
          <w:lang w:val="en-US" w:eastAsia="zh-CN"/>
        </w:rPr>
        <w:t>项目</w:t>
      </w:r>
      <w:bookmarkEnd w:id="3"/>
      <w:r>
        <w:rPr>
          <w:rFonts w:hint="eastAsia" w:ascii="宋体" w:hAnsi="宋体" w:eastAsia="宋体" w:cs="宋体"/>
          <w:b/>
          <w:bCs/>
          <w:sz w:val="28"/>
          <w:szCs w:val="22"/>
          <w:lang w:val="en-US" w:eastAsia="zh-CN"/>
        </w:rPr>
        <w:t>概要</w:t>
      </w:r>
    </w:p>
    <w:p>
      <w:pPr>
        <w:ind w:firstLine="560"/>
        <w:rPr>
          <w:rFonts w:hint="default" w:ascii="宋体" w:hAnsi="宋体" w:eastAsia="宋体" w:cs="宋体"/>
          <w:sz w:val="24"/>
          <w:szCs w:val="24"/>
          <w:lang w:val="en-US"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1</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项目名称：{{project.owner}}分布式储能电站项目</w:t>
      </w:r>
    </w:p>
    <w:p>
      <w:pPr>
        <w:ind w:firstLine="56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（2）项目性质：新建项目。</w:t>
      </w:r>
    </w:p>
    <w:p>
      <w:pPr>
        <w:ind w:firstLine="560"/>
        <w:rPr>
          <w:rFonts w:hint="eastAsia" w:ascii="宋体" w:hAnsi="宋体" w:eastAsia="宋体" w:cs="宋体"/>
          <w:sz w:val="24"/>
          <w:szCs w:val="24"/>
          <w:highlight w:val="none"/>
          <w:lang w:val="en-US" w:eastAsia="zh-CN"/>
        </w:rPr>
      </w:pPr>
      <w:r>
        <w:rPr>
          <w:rFonts w:hint="eastAsia" w:ascii="宋体" w:hAnsi="宋体" w:eastAsia="宋体" w:cs="宋体"/>
          <w:sz w:val="24"/>
          <w:szCs w:val="24"/>
          <w:highlight w:val="none"/>
          <w:lang w:val="en-US" w:eastAsia="zh-CN"/>
        </w:rPr>
        <w:t>（3）建设规模：{{project.owner}}分布式储能电站项目预期装机容量为{{T(com.rosenzest.electric.util.BigDecimalUtil).roundHalfUp(power.t4a,0)}}kW/{{T(com.rosenzest.electric.util.BigDecimalUtil).roundHalfUp(power.t4b,0)}}kWh,项目采用380V等级低压接入电网，采用削峰填谷方式为企业降本增效。</w:t>
      </w:r>
    </w:p>
    <w:p>
      <w:pPr>
        <w:ind w:firstLine="560"/>
        <w:rPr>
          <w:rFonts w:hint="default" w:ascii="宋体" w:hAnsi="宋体" w:eastAsia="宋体" w:cs="宋体"/>
          <w:sz w:val="24"/>
          <w:szCs w:val="24"/>
          <w:highlight w:val="none"/>
          <w:lang w:val="en-US" w:eastAsia="zh-CN"/>
        </w:rPr>
      </w:pPr>
      <w:r>
        <w:rPr>
          <w:rFonts w:hint="eastAsia" w:ascii="宋体" w:hAnsi="宋体" w:eastAsia="宋体" w:cs="宋体"/>
          <w:sz w:val="24"/>
          <w:szCs w:val="24"/>
          <w:highlight w:val="none"/>
          <w:lang w:val="en-US" w:eastAsia="zh-CN"/>
        </w:rPr>
        <w:t>（4）项目详细地址：{{project.address}}</w:t>
      </w:r>
    </w:p>
    <w:p>
      <w:pPr>
        <w:numPr>
          <w:ilvl w:val="0"/>
          <w:numId w:val="0"/>
        </w:numPr>
        <w:jc w:val="left"/>
        <w:outlineLvl w:val="0"/>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2、合作模式</w:t>
      </w:r>
    </w:p>
    <w:p>
      <w:pPr>
        <w:numPr>
          <w:ilvl w:val="0"/>
          <w:numId w:val="0"/>
        </w:numPr>
        <w:ind w:firstLine="420" w:firstLineChars="0"/>
        <w:jc w:val="left"/>
        <w:rPr>
          <w:rFonts w:hint="eastAsia" w:ascii="宋体" w:hAnsi="宋体" w:eastAsia="宋体" w:cs="宋体"/>
          <w:b w:val="0"/>
          <w:bCs w:val="0"/>
          <w:sz w:val="24"/>
          <w:szCs w:val="24"/>
          <w:highlight w:val="none"/>
          <w:lang w:val="en-US" w:eastAsia="zh-CN"/>
        </w:rPr>
      </w:pPr>
      <w:r>
        <w:rPr>
          <w:rFonts w:hint="eastAsia" w:ascii="宋体" w:hAnsi="宋体" w:eastAsia="宋体" w:cs="宋体"/>
          <w:b w:val="0"/>
          <w:bCs w:val="0"/>
          <w:sz w:val="24"/>
          <w:szCs w:val="24"/>
          <w:highlight w:val="none"/>
          <w:lang w:val="en-US" w:eastAsia="zh-CN"/>
        </w:rPr>
        <w:t>（1）双方以EMC能源管理合同方式进行合作，{{project.owner}}无需出资一分钱，所有建设成本均由{{project.investor}}负责，业主只要满足用电条件即可安装储能设备，每100kW/215kWh设备仅占地2㎡。</w:t>
      </w:r>
    </w:p>
    <w:p>
      <w:pPr>
        <w:numPr>
          <w:ilvl w:val="0"/>
          <w:numId w:val="0"/>
        </w:numPr>
        <w:ind w:firstLine="420" w:firstLineChars="0"/>
        <w:jc w:val="left"/>
        <w:rPr>
          <w:rFonts w:hint="eastAsia" w:ascii="宋体" w:hAnsi="宋体" w:eastAsia="宋体" w:cs="宋体"/>
          <w:b w:val="0"/>
          <w:bCs w:val="0"/>
          <w:sz w:val="24"/>
          <w:szCs w:val="24"/>
          <w:highlight w:val="none"/>
          <w:lang w:val="en-US" w:eastAsia="zh-CN"/>
        </w:rPr>
      </w:pPr>
      <w:r>
        <w:rPr>
          <w:rFonts w:hint="eastAsia" w:ascii="宋体" w:hAnsi="宋体" w:eastAsia="宋体" w:cs="宋体"/>
          <w:b w:val="0"/>
          <w:bCs w:val="0"/>
          <w:sz w:val="24"/>
          <w:szCs w:val="24"/>
          <w:highlight w:val="none"/>
          <w:lang w:val="en-US" w:eastAsia="zh-CN"/>
        </w:rPr>
        <w:t>（2）项目合作5年起步，合作时间越长享受收益越久，合同期内储能电站资产归资本方所有，业主方享受合同期内的收益分享。</w:t>
      </w:r>
    </w:p>
    <w:p>
      <w:pPr>
        <w:numPr>
          <w:ilvl w:val="0"/>
          <w:numId w:val="0"/>
        </w:numPr>
        <w:ind w:firstLine="420" w:firstLineChars="0"/>
        <w:jc w:val="left"/>
        <w:rPr>
          <w:rFonts w:hint="default" w:ascii="宋体" w:hAnsi="宋体" w:eastAsia="宋体" w:cs="宋体"/>
          <w:b w:val="0"/>
          <w:bCs w:val="0"/>
          <w:sz w:val="24"/>
          <w:szCs w:val="24"/>
          <w:highlight w:val="none"/>
          <w:lang w:val="en-US" w:eastAsia="zh-CN"/>
        </w:rPr>
      </w:pPr>
      <w:r>
        <w:rPr>
          <w:rFonts w:hint="eastAsia" w:ascii="宋体" w:hAnsi="宋体" w:eastAsia="宋体" w:cs="宋体"/>
          <w:b w:val="0"/>
          <w:bCs w:val="0"/>
          <w:sz w:val="24"/>
          <w:szCs w:val="24"/>
          <w:highlight w:val="none"/>
          <w:lang w:val="en-US" w:eastAsia="zh-CN"/>
        </w:rPr>
        <w:t>（3）合同期内，储能设备在用户侧低压系统进行充放电循环，以谷期、平期进行充电，峰期以及尖期进行放电，以此往复循环削峰填谷为业主方节省用电成本，所有电量计量以双方认可的安装在业主方低压侧计量表为准，价差产生的节省收益双方以约定比例进行分成，即{{project.owner}}享有价差收益的{{T(com.rosenzest.electric.util.BigDecimalUtil).roundHalfUp(project.proportion,0)}}%，其余未来可能产生收益（需求侧响应、虚拟电厂）{{project.owner}}享有该收益的{{T(com.rosenzest.electric.util.BigDecimalUtil).roundHalfUp(project.proportionOther,0)}}%。</w:t>
      </w:r>
    </w:p>
    <w:p>
      <w:pPr>
        <w:numPr>
          <w:ilvl w:val="0"/>
          <w:numId w:val="0"/>
        </w:numPr>
        <w:jc w:val="left"/>
        <w:outlineLvl w:val="0"/>
        <w:rPr>
          <w:rFonts w:hint="eastAsia" w:ascii="宋体" w:hAnsi="宋体" w:eastAsia="宋体" w:cs="宋体"/>
          <w:b/>
          <w:bCs/>
          <w:sz w:val="28"/>
          <w:szCs w:val="28"/>
          <w:lang w:val="en-US" w:eastAsia="zh-CN"/>
        </w:rPr>
      </w:pPr>
      <w:bookmarkStart w:id="4" w:name="_Toc13680"/>
      <w:r>
        <w:rPr>
          <w:rFonts w:hint="eastAsia" w:ascii="宋体" w:hAnsi="宋体" w:eastAsia="宋体" w:cs="宋体"/>
          <w:b/>
          <w:bCs/>
          <w:sz w:val="28"/>
          <w:szCs w:val="28"/>
          <w:lang w:val="en-US" w:eastAsia="zh-CN"/>
        </w:rPr>
        <w:t>3、收益分析</w:t>
      </w:r>
    </w:p>
    <w:p>
      <w:pPr>
        <w:numPr>
          <w:ilvl w:val="0"/>
          <w:numId w:val="0"/>
        </w:numPr>
        <w:ind w:firstLine="420" w:firstLineChars="0"/>
        <w:jc w:val="left"/>
        <w:rPr>
          <w:rFonts w:hint="eastAsia"/>
          <w:b w:val="0"/>
          <w:bCs w:val="0"/>
          <w:sz w:val="28"/>
          <w:szCs w:val="22"/>
          <w:lang w:val="en-US" w:eastAsia="zh-CN"/>
        </w:rPr>
      </w:pPr>
      <w:r>
        <w:rPr>
          <w:rFonts w:hint="eastAsia"/>
          <w:b w:val="0"/>
          <w:bCs w:val="0"/>
          <w:sz w:val="28"/>
          <w:szCs w:val="22"/>
          <w:lang w:val="en-US" w:eastAsia="zh-CN"/>
        </w:rPr>
        <w:t>项目所用分布式储能柜在0-8点谷期进行第一次充电，充电量为E</w:t>
      </w:r>
      <w:r>
        <w:rPr>
          <w:rFonts w:hint="eastAsia"/>
          <w:b w:val="0"/>
          <w:bCs w:val="0"/>
          <w:sz w:val="28"/>
          <w:szCs w:val="22"/>
          <w:vertAlign w:val="subscript"/>
          <w:lang w:val="en-US" w:eastAsia="zh-CN"/>
        </w:rPr>
        <w:t>谷</w:t>
      </w:r>
      <w:r>
        <w:rPr>
          <w:rFonts w:hint="eastAsia"/>
          <w:b w:val="0"/>
          <w:bCs w:val="0"/>
          <w:sz w:val="28"/>
          <w:szCs w:val="22"/>
          <w:lang w:val="en-US" w:eastAsia="zh-CN"/>
        </w:rPr>
        <w:t>，谷期电价为P</w:t>
      </w:r>
      <w:r>
        <w:rPr>
          <w:rFonts w:hint="eastAsia"/>
          <w:b w:val="0"/>
          <w:bCs w:val="0"/>
          <w:sz w:val="28"/>
          <w:szCs w:val="22"/>
          <w:vertAlign w:val="subscript"/>
          <w:lang w:val="en-US" w:eastAsia="zh-CN"/>
        </w:rPr>
        <w:t>谷</w:t>
      </w:r>
      <w:r>
        <w:rPr>
          <w:rFonts w:hint="eastAsia"/>
          <w:b w:val="0"/>
          <w:bCs w:val="0"/>
          <w:sz w:val="28"/>
          <w:szCs w:val="22"/>
          <w:lang w:val="en-US" w:eastAsia="zh-CN"/>
        </w:rPr>
        <w:t>，10-12点峰期进行第一次放电，放电量为E</w:t>
      </w:r>
      <w:r>
        <w:rPr>
          <w:rFonts w:hint="eastAsia"/>
          <w:b w:val="0"/>
          <w:bCs w:val="0"/>
          <w:sz w:val="28"/>
          <w:szCs w:val="22"/>
          <w:vertAlign w:val="subscript"/>
          <w:lang w:val="en-US" w:eastAsia="zh-CN"/>
        </w:rPr>
        <w:t>峰（尖）1</w:t>
      </w:r>
      <w:r>
        <w:rPr>
          <w:rFonts w:hint="eastAsia"/>
          <w:b w:val="0"/>
          <w:bCs w:val="0"/>
          <w:sz w:val="28"/>
          <w:szCs w:val="22"/>
          <w:lang w:val="en-US" w:eastAsia="zh-CN"/>
        </w:rPr>
        <w:t>，峰期电价为P</w:t>
      </w:r>
      <w:r>
        <w:rPr>
          <w:rFonts w:hint="eastAsia"/>
          <w:b w:val="0"/>
          <w:bCs w:val="0"/>
          <w:sz w:val="28"/>
          <w:szCs w:val="22"/>
          <w:vertAlign w:val="subscript"/>
          <w:lang w:val="en-US" w:eastAsia="zh-CN"/>
        </w:rPr>
        <w:t>峰</w:t>
      </w:r>
      <w:r>
        <w:rPr>
          <w:rFonts w:hint="eastAsia"/>
          <w:b w:val="0"/>
          <w:bCs w:val="0"/>
          <w:sz w:val="28"/>
          <w:szCs w:val="22"/>
          <w:lang w:val="en-US" w:eastAsia="zh-CN"/>
        </w:rPr>
        <w:t>，12-14点平期进行第二次充电，充电量为E</w:t>
      </w:r>
      <w:r>
        <w:rPr>
          <w:rFonts w:hint="eastAsia"/>
          <w:b w:val="0"/>
          <w:bCs w:val="0"/>
          <w:sz w:val="28"/>
          <w:szCs w:val="22"/>
          <w:vertAlign w:val="subscript"/>
          <w:lang w:val="en-US" w:eastAsia="zh-CN"/>
        </w:rPr>
        <w:t>平</w:t>
      </w:r>
      <w:r>
        <w:rPr>
          <w:rFonts w:hint="eastAsia"/>
          <w:b w:val="0"/>
          <w:bCs w:val="0"/>
          <w:sz w:val="28"/>
          <w:szCs w:val="22"/>
          <w:lang w:val="en-US" w:eastAsia="zh-CN"/>
        </w:rPr>
        <w:t>，平期电价为P</w:t>
      </w:r>
      <w:r>
        <w:rPr>
          <w:rFonts w:hint="eastAsia"/>
          <w:b w:val="0"/>
          <w:bCs w:val="0"/>
          <w:sz w:val="28"/>
          <w:szCs w:val="22"/>
          <w:vertAlign w:val="subscript"/>
          <w:lang w:val="en-US" w:eastAsia="zh-CN"/>
        </w:rPr>
        <w:t>平</w:t>
      </w:r>
      <w:r>
        <w:rPr>
          <w:rFonts w:hint="eastAsia"/>
          <w:b w:val="0"/>
          <w:bCs w:val="0"/>
          <w:sz w:val="28"/>
          <w:szCs w:val="22"/>
          <w:lang w:val="en-US" w:eastAsia="zh-CN"/>
        </w:rPr>
        <w:t>，14-19点峰期进行第二次放电，放电量为E</w:t>
      </w:r>
      <w:r>
        <w:rPr>
          <w:rFonts w:hint="eastAsia"/>
          <w:b w:val="0"/>
          <w:bCs w:val="0"/>
          <w:sz w:val="28"/>
          <w:szCs w:val="22"/>
          <w:vertAlign w:val="subscript"/>
          <w:lang w:val="en-US" w:eastAsia="zh-CN"/>
        </w:rPr>
        <w:t>峰（尖）2</w:t>
      </w:r>
      <w:r>
        <w:rPr>
          <w:rFonts w:hint="eastAsia"/>
          <w:b w:val="0"/>
          <w:bCs w:val="0"/>
          <w:sz w:val="28"/>
          <w:szCs w:val="22"/>
          <w:lang w:val="en-US" w:eastAsia="zh-CN"/>
        </w:rPr>
        <w:t>，峰期电价为P</w:t>
      </w:r>
      <w:r>
        <w:rPr>
          <w:rFonts w:hint="eastAsia"/>
          <w:b w:val="0"/>
          <w:bCs w:val="0"/>
          <w:sz w:val="28"/>
          <w:szCs w:val="22"/>
          <w:vertAlign w:val="subscript"/>
          <w:lang w:val="en-US" w:eastAsia="zh-CN"/>
        </w:rPr>
        <w:t>峰（尖）</w:t>
      </w:r>
      <w:r>
        <w:rPr>
          <w:rFonts w:hint="eastAsia"/>
          <w:b w:val="0"/>
          <w:bCs w:val="0"/>
          <w:sz w:val="28"/>
          <w:szCs w:val="22"/>
          <w:lang w:val="en-US" w:eastAsia="zh-CN"/>
        </w:rPr>
        <w:t>，一天两充两放，往复循环。</w:t>
      </w:r>
    </w:p>
    <w:p>
      <w:pPr>
        <w:numPr>
          <w:ilvl w:val="0"/>
          <w:numId w:val="0"/>
        </w:numPr>
        <w:ind w:firstLine="420" w:firstLineChars="0"/>
        <w:jc w:val="left"/>
        <w:rPr>
          <w:rFonts w:hint="eastAsia"/>
          <w:b w:val="0"/>
          <w:bCs w:val="0"/>
          <w:sz w:val="28"/>
          <w:szCs w:val="22"/>
          <w:lang w:val="en-US" w:eastAsia="zh-CN"/>
        </w:rPr>
      </w:pPr>
      <w:r>
        <w:rPr>
          <w:rFonts w:hint="eastAsia"/>
          <w:b w:val="0"/>
          <w:bCs w:val="0"/>
          <w:sz w:val="28"/>
          <w:szCs w:val="22"/>
          <w:lang w:val="en-US" w:eastAsia="zh-CN"/>
        </w:rPr>
        <w:t>项目总节能收益：</w:t>
      </w:r>
    </w:p>
    <w:p>
      <w:pPr>
        <w:numPr>
          <w:ilvl w:val="0"/>
          <w:numId w:val="0"/>
        </w:numPr>
        <w:ind w:firstLine="420" w:firstLineChars="0"/>
        <w:jc w:val="center"/>
        <w:rPr>
          <w:rFonts w:hint="eastAsia" w:ascii="幼圆" w:hAnsi="幼圆" w:eastAsia="幼圆" w:cs="幼圆"/>
          <w:b w:val="0"/>
          <w:bCs w:val="0"/>
          <w:sz w:val="36"/>
          <w:szCs w:val="28"/>
          <w:vertAlign w:val="subscript"/>
          <w:lang w:val="en-US" w:eastAsia="zh-CN"/>
        </w:rPr>
      </w:pPr>
      <w:r>
        <w:rPr>
          <w:rFonts w:hint="eastAsia" w:ascii="幼圆" w:hAnsi="幼圆" w:eastAsia="幼圆" w:cs="幼圆"/>
          <w:b w:val="0"/>
          <w:bCs w:val="0"/>
          <w:sz w:val="36"/>
          <w:szCs w:val="28"/>
          <w:lang w:val="en-US" w:eastAsia="zh-CN"/>
        </w:rPr>
        <w:t>A=E</w:t>
      </w:r>
      <w:r>
        <w:rPr>
          <w:rFonts w:hint="eastAsia" w:ascii="幼圆" w:hAnsi="幼圆" w:eastAsia="幼圆" w:cs="幼圆"/>
          <w:b w:val="0"/>
          <w:bCs w:val="0"/>
          <w:sz w:val="36"/>
          <w:szCs w:val="28"/>
          <w:vertAlign w:val="subscript"/>
          <w:lang w:val="en-US" w:eastAsia="zh-CN"/>
        </w:rPr>
        <w:t>峰（尖）1</w:t>
      </w:r>
      <w:r>
        <w:rPr>
          <w:rFonts w:hint="eastAsia" w:ascii="幼圆" w:hAnsi="幼圆" w:eastAsia="幼圆" w:cs="幼圆"/>
          <w:b w:val="0"/>
          <w:bCs w:val="0"/>
          <w:sz w:val="36"/>
          <w:szCs w:val="28"/>
          <w:lang w:val="en-US" w:eastAsia="zh-CN"/>
        </w:rPr>
        <w:t>*P</w:t>
      </w:r>
      <w:r>
        <w:rPr>
          <w:rFonts w:hint="eastAsia" w:ascii="幼圆" w:hAnsi="幼圆" w:eastAsia="幼圆" w:cs="幼圆"/>
          <w:b w:val="0"/>
          <w:bCs w:val="0"/>
          <w:sz w:val="36"/>
          <w:szCs w:val="28"/>
          <w:vertAlign w:val="subscript"/>
          <w:lang w:val="en-US" w:eastAsia="zh-CN"/>
        </w:rPr>
        <w:t>峰（尖）</w:t>
      </w:r>
      <w:r>
        <w:rPr>
          <w:rFonts w:hint="eastAsia" w:ascii="幼圆" w:hAnsi="幼圆" w:eastAsia="幼圆" w:cs="幼圆"/>
          <w:b w:val="0"/>
          <w:bCs w:val="0"/>
          <w:sz w:val="36"/>
          <w:szCs w:val="28"/>
          <w:lang w:val="en-US" w:eastAsia="zh-CN"/>
        </w:rPr>
        <w:t>+E</w:t>
      </w:r>
      <w:r>
        <w:rPr>
          <w:rFonts w:hint="eastAsia" w:ascii="幼圆" w:hAnsi="幼圆" w:eastAsia="幼圆" w:cs="幼圆"/>
          <w:b w:val="0"/>
          <w:bCs w:val="0"/>
          <w:sz w:val="36"/>
          <w:szCs w:val="28"/>
          <w:vertAlign w:val="subscript"/>
          <w:lang w:val="en-US" w:eastAsia="zh-CN"/>
        </w:rPr>
        <w:t>峰（尖）2</w:t>
      </w:r>
      <w:r>
        <w:rPr>
          <w:rFonts w:hint="eastAsia" w:ascii="幼圆" w:hAnsi="幼圆" w:eastAsia="幼圆" w:cs="幼圆"/>
          <w:b w:val="0"/>
          <w:bCs w:val="0"/>
          <w:sz w:val="36"/>
          <w:szCs w:val="28"/>
          <w:lang w:val="en-US" w:eastAsia="zh-CN"/>
        </w:rPr>
        <w:t>*P</w:t>
      </w:r>
      <w:r>
        <w:rPr>
          <w:rFonts w:hint="eastAsia" w:ascii="幼圆" w:hAnsi="幼圆" w:eastAsia="幼圆" w:cs="幼圆"/>
          <w:b w:val="0"/>
          <w:bCs w:val="0"/>
          <w:sz w:val="36"/>
          <w:szCs w:val="28"/>
          <w:vertAlign w:val="subscript"/>
          <w:lang w:val="en-US" w:eastAsia="zh-CN"/>
        </w:rPr>
        <w:t>峰（尖）</w:t>
      </w:r>
      <w:r>
        <w:rPr>
          <w:rFonts w:hint="eastAsia" w:ascii="幼圆" w:hAnsi="幼圆" w:eastAsia="幼圆" w:cs="幼圆"/>
          <w:b w:val="0"/>
          <w:bCs w:val="0"/>
          <w:sz w:val="36"/>
          <w:szCs w:val="28"/>
          <w:lang w:val="en-US" w:eastAsia="zh-CN"/>
        </w:rPr>
        <w:t>-E</w:t>
      </w:r>
      <w:r>
        <w:rPr>
          <w:rFonts w:hint="eastAsia" w:ascii="幼圆" w:hAnsi="幼圆" w:eastAsia="幼圆" w:cs="幼圆"/>
          <w:b w:val="0"/>
          <w:bCs w:val="0"/>
          <w:sz w:val="36"/>
          <w:szCs w:val="28"/>
          <w:vertAlign w:val="subscript"/>
          <w:lang w:val="en-US" w:eastAsia="zh-CN"/>
        </w:rPr>
        <w:t>谷</w:t>
      </w:r>
      <w:r>
        <w:rPr>
          <w:rFonts w:hint="eastAsia" w:ascii="幼圆" w:hAnsi="幼圆" w:eastAsia="幼圆" w:cs="幼圆"/>
          <w:b w:val="0"/>
          <w:bCs w:val="0"/>
          <w:sz w:val="36"/>
          <w:szCs w:val="28"/>
          <w:lang w:val="en-US" w:eastAsia="zh-CN"/>
        </w:rPr>
        <w:t>*P</w:t>
      </w:r>
      <w:r>
        <w:rPr>
          <w:rFonts w:hint="eastAsia" w:ascii="幼圆" w:hAnsi="幼圆" w:eastAsia="幼圆" w:cs="幼圆"/>
          <w:b w:val="0"/>
          <w:bCs w:val="0"/>
          <w:sz w:val="36"/>
          <w:szCs w:val="28"/>
          <w:vertAlign w:val="subscript"/>
          <w:lang w:val="en-US" w:eastAsia="zh-CN"/>
        </w:rPr>
        <w:t>谷</w:t>
      </w:r>
      <w:r>
        <w:rPr>
          <w:rFonts w:hint="eastAsia" w:ascii="幼圆" w:hAnsi="幼圆" w:eastAsia="幼圆" w:cs="幼圆"/>
          <w:b w:val="0"/>
          <w:bCs w:val="0"/>
          <w:sz w:val="36"/>
          <w:szCs w:val="28"/>
          <w:lang w:val="en-US" w:eastAsia="zh-CN"/>
        </w:rPr>
        <w:t>-E</w:t>
      </w:r>
      <w:r>
        <w:rPr>
          <w:rFonts w:hint="eastAsia" w:ascii="幼圆" w:hAnsi="幼圆" w:eastAsia="幼圆" w:cs="幼圆"/>
          <w:b w:val="0"/>
          <w:bCs w:val="0"/>
          <w:sz w:val="36"/>
          <w:szCs w:val="28"/>
          <w:vertAlign w:val="subscript"/>
          <w:lang w:val="en-US" w:eastAsia="zh-CN"/>
        </w:rPr>
        <w:t>平</w:t>
      </w:r>
      <w:r>
        <w:rPr>
          <w:rFonts w:hint="eastAsia" w:ascii="幼圆" w:hAnsi="幼圆" w:eastAsia="幼圆" w:cs="幼圆"/>
          <w:b w:val="0"/>
          <w:bCs w:val="0"/>
          <w:sz w:val="36"/>
          <w:szCs w:val="28"/>
          <w:lang w:val="en-US" w:eastAsia="zh-CN"/>
        </w:rPr>
        <w:t>*P</w:t>
      </w:r>
      <w:r>
        <w:rPr>
          <w:rFonts w:hint="eastAsia" w:ascii="幼圆" w:hAnsi="幼圆" w:eastAsia="幼圆" w:cs="幼圆"/>
          <w:b w:val="0"/>
          <w:bCs w:val="0"/>
          <w:sz w:val="36"/>
          <w:szCs w:val="28"/>
          <w:vertAlign w:val="subscript"/>
          <w:lang w:val="en-US" w:eastAsia="zh-CN"/>
        </w:rPr>
        <w:t>平</w:t>
      </w:r>
    </w:p>
    <w:p>
      <w:pPr>
        <w:numPr>
          <w:ilvl w:val="0"/>
          <w:numId w:val="0"/>
        </w:numPr>
        <w:ind w:firstLine="420" w:firstLineChars="0"/>
        <w:jc w:val="left"/>
        <w:rPr>
          <w:rFonts w:hint="eastAsia"/>
          <w:b w:val="0"/>
          <w:bCs w:val="0"/>
          <w:sz w:val="28"/>
          <w:szCs w:val="22"/>
          <w:lang w:val="en-US" w:eastAsia="zh-CN"/>
        </w:rPr>
      </w:pPr>
      <w:r>
        <w:rPr>
          <w:rFonts w:hint="eastAsia"/>
          <w:b w:val="0"/>
          <w:bCs w:val="0"/>
          <w:sz w:val="28"/>
          <w:szCs w:val="22"/>
          <w:highlight w:val="none"/>
          <w:lang w:val="en-US" w:eastAsia="zh-CN"/>
        </w:rPr>
        <w:t>业主方首年收益{{T(com.rosenzest.electric.util.BigDecimalUtil).roundHalfUp(first.ownerIncome,2)}}万元，平均每年收益</w:t>
      </w:r>
      <w:r>
        <w:rPr>
          <w:rFonts w:hint="eastAsia"/>
          <w:b w:val="0"/>
          <w:bCs w:val="0"/>
          <w:sz w:val="28"/>
          <w:szCs w:val="22"/>
          <w:lang w:val="en-US" w:eastAsia="zh-CN"/>
        </w:rPr>
        <w:t>{{T(com.rosenzest.electric.util.BigDecimalUtil).roundHalfUp(average.ownerIncome,2)}}万元。储能柜10年业主总收益{{T(com.rosenzest.electric.util.BigDecimalUtil).roundHalfUp(total.ownerIncome,2)}}万元，其余未来可能产生收益（需求侧响应、虚拟电厂）按照{{T(com.rosenzest.electric.util.BigDecimalUtil).roundHalfUp(project.proportionOther,0)}}%：{{T(com.rosenzest.electric.util.BigDecimalUtil).roundHalfUp(project.proportionOther,0)}}%另算。</w:t>
      </w:r>
    </w:p>
    <w:p>
      <w:pPr>
        <w:numPr>
          <w:ilvl w:val="0"/>
          <w:numId w:val="0"/>
        </w:numPr>
        <w:ind w:firstLine="420" w:firstLineChars="0"/>
        <w:jc w:val="center"/>
        <w:rPr>
          <w:rFonts w:hint="eastAsia" w:ascii="宋体" w:hAnsi="宋体" w:eastAsia="宋体" w:cs="宋体"/>
          <w:b w:val="0"/>
          <w:bCs w:val="0"/>
          <w:sz w:val="22"/>
          <w:szCs w:val="20"/>
          <w:vertAlign w:val="baseline"/>
          <w:lang w:val="en-US" w:eastAsia="zh-CN"/>
        </w:rPr>
      </w:pPr>
      <w:r>
        <w:rPr>
          <w:rFonts w:hint="eastAsia" w:ascii="宋体" w:hAnsi="宋体" w:eastAsia="宋体" w:cs="宋体"/>
          <w:b w:val="0"/>
          <w:bCs w:val="0"/>
          <w:sz w:val="22"/>
          <w:szCs w:val="20"/>
          <w:vertAlign w:val="baseline"/>
          <w:lang w:val="en-US" w:eastAsia="zh-CN"/>
        </w:rPr>
        <w:t>表1 项目预期收益表</w:t>
      </w:r>
    </w:p>
    <w:tbl>
      <w:tblPr>
        <w:tblStyle w:val="4"/>
        <w:tblW w:w="5000"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27"/>
        <w:gridCol w:w="1008"/>
        <w:gridCol w:w="1246"/>
        <w:gridCol w:w="1410"/>
        <w:gridCol w:w="1410"/>
        <w:gridCol w:w="1410"/>
        <w:gridCol w:w="14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5" w:hRule="atLeast"/>
          <w:jc w:val="center"/>
        </w:trPr>
        <w:tc>
          <w:tcPr>
            <w:tcW w:w="367" w:type="pct"/>
            <w:tcBorders>
              <w:top w:val="single" w:color="auto" w:sz="4" w:space="0"/>
              <w:left w:val="single" w:color="auto" w:sz="4" w:space="0"/>
              <w:bottom w:val="single" w:color="auto" w:sz="4" w:space="0"/>
              <w:right w:val="single" w:color="auto" w:sz="4" w:space="0"/>
            </w:tcBorders>
            <w:shd w:val="clear" w:color="auto" w:fill="auto"/>
            <w:noWrap/>
            <w:vAlign w:val="center"/>
          </w:tcPr>
          <w:p>
            <w:pPr>
              <w:pStyle w:val="11"/>
              <w:widowControl/>
              <w:kinsoku w:val="0"/>
              <w:autoSpaceDE w:val="0"/>
              <w:autoSpaceDN w:val="0"/>
              <w:adjustRightInd w:val="0"/>
              <w:snapToGrid w:val="0"/>
              <w:spacing w:before="77" w:line="206" w:lineRule="auto"/>
              <w:ind w:left="0" w:leftChars="0" w:firstLine="0" w:firstLineChars="0"/>
              <w:jc w:val="center"/>
              <w:textAlignment w:val="baseline"/>
              <w:rPr>
                <w:rFonts w:ascii="等线" w:hAnsi="等线" w:eastAsia="等线" w:cs="等线"/>
                <w:i w:val="0"/>
                <w:iCs w:val="0"/>
                <w:color w:val="000000"/>
                <w:sz w:val="20"/>
                <w:szCs w:val="20"/>
                <w:u w:val="none"/>
              </w:rPr>
            </w:pPr>
            <w:r>
              <w:rPr>
                <w:rFonts w:hint="eastAsia" w:ascii="等线" w:hAnsi="等线" w:eastAsia="等线" w:cs="等线"/>
                <w:i w:val="0"/>
                <w:iCs w:val="0"/>
                <w:color w:val="000000"/>
                <w:sz w:val="20"/>
                <w:szCs w:val="20"/>
                <w:u w:val="none"/>
                <w:lang w:val="en-US" w:eastAsia="zh-CN"/>
              </w:rPr>
              <w:t>{{yearList}}年</w:t>
            </w:r>
          </w:p>
        </w:tc>
        <w:tc>
          <w:tcPr>
            <w:tcW w:w="591" w:type="pct"/>
            <w:tcBorders>
              <w:top w:val="single" w:color="auto" w:sz="4" w:space="0"/>
              <w:left w:val="nil"/>
              <w:bottom w:val="single" w:color="auto" w:sz="4" w:space="0"/>
              <w:right w:val="single" w:color="auto" w:sz="4" w:space="0"/>
            </w:tcBorders>
            <w:shd w:val="clear" w:color="auto" w:fill="auto"/>
            <w:noWrap/>
            <w:vAlign w:val="center"/>
          </w:tcPr>
          <w:p>
            <w:pPr>
              <w:pStyle w:val="11"/>
              <w:widowControl/>
              <w:kinsoku w:val="0"/>
              <w:autoSpaceDE w:val="0"/>
              <w:autoSpaceDN w:val="0"/>
              <w:adjustRightInd w:val="0"/>
              <w:snapToGrid w:val="0"/>
              <w:spacing w:before="77" w:line="206" w:lineRule="auto"/>
              <w:ind w:left="0" w:leftChars="0" w:firstLine="0" w:firstLineChars="0"/>
              <w:jc w:val="center"/>
              <w:textAlignment w:val="baseline"/>
              <w:rPr>
                <w:rFonts w:hint="eastAsia" w:ascii="等线" w:hAnsi="等线" w:eastAsia="等线" w:cs="等线"/>
                <w:i w:val="0"/>
                <w:iCs w:val="0"/>
                <w:color w:val="000000"/>
                <w:sz w:val="20"/>
                <w:szCs w:val="20"/>
                <w:u w:val="none"/>
              </w:rPr>
            </w:pPr>
            <w:r>
              <w:rPr>
                <w:rFonts w:hint="eastAsia" w:ascii="等线" w:hAnsi="等线" w:eastAsia="等线" w:cs="等线"/>
                <w:i w:val="0"/>
                <w:iCs w:val="0"/>
                <w:color w:val="000000"/>
                <w:sz w:val="20"/>
                <w:szCs w:val="20"/>
                <w:u w:val="none"/>
                <w:lang w:val="en-US" w:eastAsia="zh-CN"/>
              </w:rPr>
              <w:t>充电量(万度）</w:t>
            </w:r>
          </w:p>
        </w:tc>
        <w:tc>
          <w:tcPr>
            <w:tcW w:w="731" w:type="pct"/>
            <w:tcBorders>
              <w:top w:val="single" w:color="auto" w:sz="4" w:space="0"/>
              <w:left w:val="nil"/>
              <w:bottom w:val="single" w:color="auto" w:sz="4" w:space="0"/>
              <w:right w:val="single" w:color="auto" w:sz="4" w:space="0"/>
            </w:tcBorders>
            <w:shd w:val="clear" w:color="auto" w:fill="auto"/>
            <w:noWrap/>
            <w:vAlign w:val="center"/>
          </w:tcPr>
          <w:p>
            <w:pPr>
              <w:pStyle w:val="11"/>
              <w:widowControl/>
              <w:kinsoku w:val="0"/>
              <w:autoSpaceDE w:val="0"/>
              <w:autoSpaceDN w:val="0"/>
              <w:adjustRightInd w:val="0"/>
              <w:snapToGrid w:val="0"/>
              <w:spacing w:before="77" w:line="206" w:lineRule="auto"/>
              <w:ind w:left="0" w:leftChars="0" w:firstLine="0" w:firstLineChars="0"/>
              <w:jc w:val="center"/>
              <w:textAlignment w:val="baseline"/>
              <w:rPr>
                <w:rFonts w:hint="eastAsia" w:ascii="等线" w:hAnsi="等线" w:eastAsia="等线" w:cs="等线"/>
                <w:i w:val="0"/>
                <w:iCs w:val="0"/>
                <w:color w:val="000000"/>
                <w:sz w:val="20"/>
                <w:szCs w:val="20"/>
                <w:u w:val="none"/>
              </w:rPr>
            </w:pPr>
            <w:r>
              <w:rPr>
                <w:rFonts w:hint="eastAsia" w:ascii="等线" w:hAnsi="等线" w:eastAsia="等线" w:cs="等线"/>
                <w:i w:val="0"/>
                <w:iCs w:val="0"/>
                <w:color w:val="000000"/>
                <w:sz w:val="20"/>
                <w:szCs w:val="20"/>
                <w:u w:val="none"/>
                <w:lang w:val="en-US" w:eastAsia="zh-CN"/>
              </w:rPr>
              <w:t>放电量(万度）</w:t>
            </w:r>
          </w:p>
        </w:tc>
        <w:tc>
          <w:tcPr>
            <w:tcW w:w="827" w:type="pct"/>
            <w:tcBorders>
              <w:top w:val="single" w:color="auto" w:sz="4" w:space="0"/>
              <w:left w:val="nil"/>
              <w:bottom w:val="single" w:color="auto" w:sz="4" w:space="0"/>
              <w:right w:val="single" w:color="auto" w:sz="4" w:space="0"/>
            </w:tcBorders>
            <w:shd w:val="clear" w:color="auto" w:fill="auto"/>
            <w:noWrap/>
            <w:vAlign w:val="center"/>
          </w:tcPr>
          <w:p>
            <w:pPr>
              <w:pStyle w:val="11"/>
              <w:widowControl/>
              <w:kinsoku w:val="0"/>
              <w:autoSpaceDE w:val="0"/>
              <w:autoSpaceDN w:val="0"/>
              <w:adjustRightInd w:val="0"/>
              <w:snapToGrid w:val="0"/>
              <w:spacing w:before="77" w:line="206" w:lineRule="auto"/>
              <w:ind w:left="0" w:leftChars="0" w:firstLine="0" w:firstLineChars="0"/>
              <w:jc w:val="center"/>
              <w:textAlignment w:val="baseline"/>
              <w:rPr>
                <w:rFonts w:hint="eastAsia" w:ascii="等线" w:hAnsi="等线" w:eastAsia="等线" w:cs="等线"/>
                <w:i w:val="0"/>
                <w:iCs w:val="0"/>
                <w:color w:val="000000"/>
                <w:sz w:val="20"/>
                <w:szCs w:val="20"/>
                <w:u w:val="none"/>
              </w:rPr>
            </w:pPr>
            <w:r>
              <w:rPr>
                <w:rFonts w:hint="eastAsia" w:ascii="等线" w:hAnsi="等线" w:eastAsia="等线" w:cs="等线"/>
                <w:i w:val="0"/>
                <w:iCs w:val="0"/>
                <w:color w:val="000000"/>
                <w:sz w:val="20"/>
                <w:szCs w:val="20"/>
                <w:u w:val="none"/>
                <w:lang w:val="en-US" w:eastAsia="zh-CN"/>
              </w:rPr>
              <w:t>差价收益(万元）</w:t>
            </w:r>
          </w:p>
        </w:tc>
        <w:tc>
          <w:tcPr>
            <w:tcW w:w="827" w:type="pct"/>
            <w:tcBorders>
              <w:top w:val="single" w:color="auto" w:sz="4" w:space="0"/>
              <w:left w:val="nil"/>
              <w:bottom w:val="single" w:color="auto" w:sz="4" w:space="0"/>
              <w:right w:val="single" w:color="auto" w:sz="4" w:space="0"/>
            </w:tcBorders>
            <w:shd w:val="clear" w:color="auto" w:fill="auto"/>
            <w:noWrap/>
            <w:vAlign w:val="center"/>
          </w:tcPr>
          <w:p>
            <w:pPr>
              <w:pStyle w:val="11"/>
              <w:widowControl/>
              <w:kinsoku w:val="0"/>
              <w:autoSpaceDE w:val="0"/>
              <w:autoSpaceDN w:val="0"/>
              <w:adjustRightInd w:val="0"/>
              <w:snapToGrid w:val="0"/>
              <w:spacing w:before="77" w:line="206" w:lineRule="auto"/>
              <w:ind w:left="0" w:leftChars="0" w:firstLine="0" w:firstLineChars="0"/>
              <w:jc w:val="center"/>
              <w:textAlignment w:val="baseline"/>
              <w:rPr>
                <w:rFonts w:hint="eastAsia" w:ascii="等线" w:hAnsi="等线" w:eastAsia="等线" w:cs="等线"/>
                <w:i w:val="0"/>
                <w:iCs w:val="0"/>
                <w:color w:val="000000"/>
                <w:sz w:val="20"/>
                <w:szCs w:val="20"/>
                <w:u w:val="none"/>
              </w:rPr>
            </w:pPr>
            <w:r>
              <w:rPr>
                <w:rFonts w:hint="eastAsia" w:ascii="等线" w:hAnsi="等线" w:eastAsia="等线" w:cs="等线"/>
                <w:i w:val="0"/>
                <w:iCs w:val="0"/>
                <w:color w:val="000000"/>
                <w:sz w:val="20"/>
                <w:szCs w:val="20"/>
                <w:u w:val="none"/>
                <w:lang w:val="en-US" w:eastAsia="zh-CN"/>
              </w:rPr>
              <w:t>其他收益(万元）</w:t>
            </w:r>
          </w:p>
        </w:tc>
        <w:tc>
          <w:tcPr>
            <w:tcW w:w="827" w:type="pct"/>
            <w:tcBorders>
              <w:top w:val="single" w:color="auto" w:sz="4" w:space="0"/>
              <w:left w:val="nil"/>
              <w:bottom w:val="single" w:color="auto" w:sz="4" w:space="0"/>
              <w:right w:val="single" w:color="auto" w:sz="4" w:space="0"/>
            </w:tcBorders>
            <w:shd w:val="clear" w:color="auto" w:fill="auto"/>
            <w:noWrap/>
            <w:vAlign w:val="center"/>
          </w:tcPr>
          <w:p>
            <w:pPr>
              <w:pStyle w:val="11"/>
              <w:widowControl/>
              <w:kinsoku w:val="0"/>
              <w:autoSpaceDE w:val="0"/>
              <w:autoSpaceDN w:val="0"/>
              <w:adjustRightInd w:val="0"/>
              <w:snapToGrid w:val="0"/>
              <w:spacing w:before="77" w:line="206" w:lineRule="auto"/>
              <w:ind w:left="0" w:leftChars="0" w:firstLine="0" w:firstLineChars="0"/>
              <w:jc w:val="center"/>
              <w:textAlignment w:val="baseline"/>
              <w:rPr>
                <w:rFonts w:hint="eastAsia" w:ascii="等线" w:hAnsi="等线" w:eastAsia="等线" w:cs="等线"/>
                <w:i w:val="0"/>
                <w:iCs w:val="0"/>
                <w:color w:val="000000"/>
                <w:sz w:val="20"/>
                <w:szCs w:val="20"/>
                <w:u w:val="none"/>
              </w:rPr>
            </w:pPr>
            <w:r>
              <w:rPr>
                <w:rFonts w:hint="eastAsia" w:ascii="等线" w:hAnsi="等线" w:eastAsia="等线" w:cs="等线"/>
                <w:i w:val="0"/>
                <w:iCs w:val="0"/>
                <w:color w:val="000000"/>
                <w:sz w:val="20"/>
                <w:szCs w:val="20"/>
                <w:u w:val="none"/>
                <w:lang w:val="en-US" w:eastAsia="zh-CN"/>
              </w:rPr>
              <w:t>业主收益(万元）</w:t>
            </w:r>
          </w:p>
        </w:tc>
        <w:tc>
          <w:tcPr>
            <w:tcW w:w="827" w:type="pct"/>
            <w:tcBorders>
              <w:top w:val="single" w:color="auto" w:sz="4" w:space="0"/>
              <w:left w:val="nil"/>
              <w:bottom w:val="single" w:color="auto" w:sz="4" w:space="0"/>
              <w:right w:val="single" w:color="auto" w:sz="4" w:space="0"/>
            </w:tcBorders>
            <w:shd w:val="clear" w:color="auto" w:fill="auto"/>
            <w:noWrap/>
            <w:vAlign w:val="center"/>
          </w:tcPr>
          <w:p>
            <w:pPr>
              <w:pStyle w:val="11"/>
              <w:widowControl/>
              <w:kinsoku w:val="0"/>
              <w:autoSpaceDE w:val="0"/>
              <w:autoSpaceDN w:val="0"/>
              <w:adjustRightInd w:val="0"/>
              <w:snapToGrid w:val="0"/>
              <w:spacing w:before="77" w:line="206" w:lineRule="auto"/>
              <w:ind w:left="0" w:leftChars="0" w:firstLine="0" w:firstLineChars="0"/>
              <w:jc w:val="center"/>
              <w:textAlignment w:val="baseline"/>
              <w:rPr>
                <w:rFonts w:hint="eastAsia" w:ascii="等线" w:hAnsi="等线" w:eastAsia="等线" w:cs="等线"/>
                <w:i w:val="0"/>
                <w:iCs w:val="0"/>
                <w:color w:val="000000"/>
                <w:sz w:val="20"/>
                <w:szCs w:val="20"/>
                <w:u w:val="none"/>
              </w:rPr>
            </w:pPr>
            <w:r>
              <w:rPr>
                <w:rFonts w:hint="eastAsia" w:ascii="等线" w:hAnsi="等线" w:eastAsia="等线" w:cs="等线"/>
                <w:i w:val="0"/>
                <w:iCs w:val="0"/>
                <w:color w:val="000000"/>
                <w:sz w:val="20"/>
                <w:szCs w:val="20"/>
                <w:u w:val="none"/>
                <w:lang w:val="en-US" w:eastAsia="zh-CN"/>
              </w:rPr>
              <w:t>资方收益(万元）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5" w:hRule="atLeast"/>
          <w:jc w:val="center"/>
        </w:trPr>
        <w:tc>
          <w:tcPr>
            <w:tcW w:w="367" w:type="pct"/>
            <w:tcBorders>
              <w:top w:val="nil"/>
              <w:left w:val="single" w:color="auto" w:sz="4" w:space="0"/>
              <w:bottom w:val="single" w:color="auto" w:sz="4" w:space="0"/>
              <w:right w:val="single" w:color="auto" w:sz="4" w:space="0"/>
            </w:tcBorders>
            <w:shd w:val="clear" w:color="auto" w:fill="auto"/>
            <w:noWrap/>
            <w:vAlign w:val="center"/>
          </w:tcPr>
          <w:p>
            <w:pPr>
              <w:pStyle w:val="11"/>
              <w:widowControl/>
              <w:kinsoku w:val="0"/>
              <w:autoSpaceDE w:val="0"/>
              <w:autoSpaceDN w:val="0"/>
              <w:adjustRightInd w:val="0"/>
              <w:snapToGrid w:val="0"/>
              <w:spacing w:before="77" w:line="206" w:lineRule="auto"/>
              <w:ind w:left="0" w:leftChars="0" w:firstLine="0" w:firstLineChars="0"/>
              <w:jc w:val="center"/>
              <w:textAlignment w:val="baseline"/>
              <w:rPr>
                <w:rFonts w:hint="default" w:ascii="等线" w:hAnsi="等线" w:eastAsia="等线" w:cs="等线"/>
                <w:i w:val="0"/>
                <w:iCs w:val="0"/>
                <w:color w:val="000000"/>
                <w:sz w:val="20"/>
                <w:szCs w:val="20"/>
                <w:u w:val="none"/>
                <w:lang w:val="en-US" w:eastAsia="zh-CN"/>
              </w:rPr>
            </w:pPr>
            <w:r>
              <w:rPr>
                <w:rFonts w:hint="eastAsia" w:ascii="等线" w:hAnsi="等线" w:eastAsia="等线" w:cs="等线"/>
                <w:i w:val="0"/>
                <w:iCs w:val="0"/>
                <w:color w:val="000000"/>
                <w:sz w:val="20"/>
                <w:szCs w:val="20"/>
                <w:u w:val="none"/>
                <w:lang w:val="en-US" w:eastAsia="zh-CN"/>
              </w:rPr>
              <w:t>[yearName]</w:t>
            </w:r>
          </w:p>
        </w:tc>
        <w:tc>
          <w:tcPr>
            <w:tcW w:w="591" w:type="pct"/>
            <w:tcBorders>
              <w:top w:val="nil"/>
              <w:left w:val="nil"/>
              <w:bottom w:val="single" w:color="auto" w:sz="4" w:space="0"/>
              <w:right w:val="single" w:color="auto" w:sz="4" w:space="0"/>
            </w:tcBorders>
            <w:shd w:val="clear" w:color="auto" w:fill="auto"/>
            <w:noWrap/>
            <w:vAlign w:val="center"/>
          </w:tcPr>
          <w:p>
            <w:pPr>
              <w:pStyle w:val="11"/>
              <w:widowControl/>
              <w:kinsoku w:val="0"/>
              <w:autoSpaceDE w:val="0"/>
              <w:autoSpaceDN w:val="0"/>
              <w:adjustRightInd w:val="0"/>
              <w:snapToGrid w:val="0"/>
              <w:spacing w:before="77" w:line="206" w:lineRule="auto"/>
              <w:ind w:left="0" w:leftChars="0" w:firstLine="0" w:firstLineChars="0"/>
              <w:jc w:val="center"/>
              <w:textAlignment w:val="baseline"/>
              <w:rPr>
                <w:rFonts w:hint="default" w:ascii="等线" w:hAnsi="等线" w:eastAsia="等线" w:cs="等线"/>
                <w:i w:val="0"/>
                <w:iCs w:val="0"/>
                <w:color w:val="000000"/>
                <w:sz w:val="20"/>
                <w:szCs w:val="20"/>
                <w:u w:val="none"/>
                <w:lang w:val="en-US" w:eastAsia="zh-CN"/>
              </w:rPr>
            </w:pPr>
            <w:r>
              <w:rPr>
                <w:rFonts w:hint="eastAsia" w:ascii="等线" w:hAnsi="等线" w:eastAsia="等线" w:cs="等线"/>
                <w:i w:val="0"/>
                <w:iCs w:val="0"/>
                <w:color w:val="000000"/>
                <w:sz w:val="20"/>
                <w:szCs w:val="20"/>
                <w:u w:val="none"/>
                <w:lang w:val="en-US" w:eastAsia="zh-CN"/>
              </w:rPr>
              <w:t>[T(com.rosenzest.electric.util.BigDecimalUtil).roundHalfUp(charge,2)]</w:t>
            </w:r>
          </w:p>
        </w:tc>
        <w:tc>
          <w:tcPr>
            <w:tcW w:w="731" w:type="pct"/>
            <w:tcBorders>
              <w:top w:val="nil"/>
              <w:left w:val="nil"/>
              <w:bottom w:val="single" w:color="auto" w:sz="4" w:space="0"/>
              <w:right w:val="single" w:color="auto" w:sz="4" w:space="0"/>
            </w:tcBorders>
            <w:shd w:val="clear" w:color="auto" w:fill="auto"/>
            <w:noWrap/>
            <w:vAlign w:val="center"/>
          </w:tcPr>
          <w:p>
            <w:pPr>
              <w:pStyle w:val="11"/>
              <w:widowControl/>
              <w:kinsoku w:val="0"/>
              <w:autoSpaceDE w:val="0"/>
              <w:autoSpaceDN w:val="0"/>
              <w:adjustRightInd w:val="0"/>
              <w:snapToGrid w:val="0"/>
              <w:spacing w:before="77" w:line="206" w:lineRule="auto"/>
              <w:ind w:left="0" w:leftChars="0" w:firstLine="0" w:firstLineChars="0"/>
              <w:jc w:val="center"/>
              <w:textAlignment w:val="baseline"/>
              <w:rPr>
                <w:rFonts w:hint="default" w:ascii="等线" w:hAnsi="等线" w:eastAsia="等线" w:cs="等线"/>
                <w:i w:val="0"/>
                <w:iCs w:val="0"/>
                <w:color w:val="000000"/>
                <w:sz w:val="20"/>
                <w:szCs w:val="20"/>
                <w:u w:val="none"/>
                <w:lang w:val="en-US"/>
              </w:rPr>
            </w:pPr>
            <w:r>
              <w:rPr>
                <w:rFonts w:hint="eastAsia" w:ascii="等线" w:hAnsi="等线" w:eastAsia="等线" w:cs="等线"/>
                <w:i w:val="0"/>
                <w:iCs w:val="0"/>
                <w:color w:val="000000"/>
                <w:sz w:val="20"/>
                <w:szCs w:val="20"/>
                <w:u w:val="none"/>
                <w:lang w:val="en-US" w:eastAsia="zh-CN"/>
              </w:rPr>
              <w:t>[T(com.rosenzest.electric.util.BigDecimalUtil).roundHalfUp(discharge,2)]</w:t>
            </w:r>
          </w:p>
        </w:tc>
        <w:tc>
          <w:tcPr>
            <w:tcW w:w="827" w:type="pct"/>
            <w:tcBorders>
              <w:top w:val="nil"/>
              <w:left w:val="nil"/>
              <w:bottom w:val="single" w:color="auto" w:sz="4" w:space="0"/>
              <w:right w:val="single" w:color="auto" w:sz="4" w:space="0"/>
            </w:tcBorders>
            <w:shd w:val="clear" w:color="auto" w:fill="auto"/>
            <w:noWrap/>
            <w:vAlign w:val="center"/>
          </w:tcPr>
          <w:p>
            <w:pPr>
              <w:pStyle w:val="11"/>
              <w:widowControl/>
              <w:kinsoku w:val="0"/>
              <w:autoSpaceDE w:val="0"/>
              <w:autoSpaceDN w:val="0"/>
              <w:adjustRightInd w:val="0"/>
              <w:snapToGrid w:val="0"/>
              <w:spacing w:before="77" w:line="206" w:lineRule="auto"/>
              <w:ind w:left="0" w:leftChars="0" w:firstLine="0" w:firstLineChars="0"/>
              <w:jc w:val="center"/>
              <w:textAlignment w:val="baseline"/>
              <w:rPr>
                <w:rFonts w:hint="default" w:ascii="等线" w:hAnsi="等线" w:eastAsia="等线" w:cs="等线"/>
                <w:i w:val="0"/>
                <w:iCs w:val="0"/>
                <w:color w:val="000000"/>
                <w:sz w:val="20"/>
                <w:szCs w:val="20"/>
                <w:u w:val="none"/>
                <w:lang w:val="en-US"/>
              </w:rPr>
            </w:pPr>
            <w:r>
              <w:rPr>
                <w:rFonts w:hint="eastAsia" w:ascii="等线" w:hAnsi="等线" w:eastAsia="等线" w:cs="等线"/>
                <w:i w:val="0"/>
                <w:iCs w:val="0"/>
                <w:color w:val="000000"/>
                <w:sz w:val="20"/>
                <w:szCs w:val="20"/>
                <w:u w:val="none"/>
                <w:lang w:val="en-US" w:eastAsia="zh-CN"/>
              </w:rPr>
              <w:t>[T(com.rosenzest.electric.util.BigDecimalUtil).roundHalfUp(income,2)]</w:t>
            </w:r>
          </w:p>
        </w:tc>
        <w:tc>
          <w:tcPr>
            <w:tcW w:w="827" w:type="pct"/>
            <w:tcBorders>
              <w:top w:val="nil"/>
              <w:left w:val="nil"/>
              <w:bottom w:val="single" w:color="auto" w:sz="4" w:space="0"/>
              <w:right w:val="single" w:color="auto" w:sz="4" w:space="0"/>
            </w:tcBorders>
            <w:shd w:val="clear" w:color="auto" w:fill="auto"/>
            <w:noWrap/>
            <w:vAlign w:val="center"/>
          </w:tcPr>
          <w:p>
            <w:pPr>
              <w:pStyle w:val="11"/>
              <w:widowControl/>
              <w:kinsoku w:val="0"/>
              <w:autoSpaceDE w:val="0"/>
              <w:autoSpaceDN w:val="0"/>
              <w:adjustRightInd w:val="0"/>
              <w:snapToGrid w:val="0"/>
              <w:spacing w:before="77" w:line="206" w:lineRule="auto"/>
              <w:ind w:left="0" w:leftChars="0" w:firstLine="0" w:firstLineChars="0"/>
              <w:jc w:val="center"/>
              <w:textAlignment w:val="baseline"/>
              <w:rPr>
                <w:rFonts w:hint="default" w:ascii="等线" w:hAnsi="等线" w:eastAsia="等线" w:cs="等线"/>
                <w:i w:val="0"/>
                <w:iCs w:val="0"/>
                <w:color w:val="000000"/>
                <w:sz w:val="20"/>
                <w:szCs w:val="20"/>
                <w:u w:val="none"/>
                <w:lang w:val="en-US" w:eastAsia="zh-CN"/>
              </w:rPr>
            </w:pPr>
            <w:r>
              <w:rPr>
                <w:rFonts w:hint="eastAsia" w:ascii="等线" w:hAnsi="等线" w:eastAsia="等线" w:cs="等线"/>
                <w:i w:val="0"/>
                <w:iCs w:val="0"/>
                <w:color w:val="000000"/>
                <w:sz w:val="20"/>
                <w:szCs w:val="20"/>
                <w:u w:val="none"/>
                <w:lang w:val="en-US" w:eastAsia="zh-CN"/>
              </w:rPr>
              <w:t>[T(com.rosenzest.electric.util.BigDecimalUtil).roundHalfUp(otherIncome,2)]</w:t>
            </w:r>
          </w:p>
        </w:tc>
        <w:tc>
          <w:tcPr>
            <w:tcW w:w="827" w:type="pct"/>
            <w:tcBorders>
              <w:top w:val="nil"/>
              <w:left w:val="nil"/>
              <w:bottom w:val="single" w:color="auto" w:sz="4" w:space="0"/>
              <w:right w:val="single" w:color="auto" w:sz="4" w:space="0"/>
            </w:tcBorders>
            <w:shd w:val="clear" w:color="auto" w:fill="auto"/>
            <w:noWrap/>
            <w:vAlign w:val="center"/>
          </w:tcPr>
          <w:p>
            <w:pPr>
              <w:pStyle w:val="11"/>
              <w:widowControl/>
              <w:kinsoku w:val="0"/>
              <w:autoSpaceDE w:val="0"/>
              <w:autoSpaceDN w:val="0"/>
              <w:adjustRightInd w:val="0"/>
              <w:snapToGrid w:val="0"/>
              <w:spacing w:before="77" w:line="206" w:lineRule="auto"/>
              <w:ind w:left="0" w:leftChars="0" w:firstLine="0" w:firstLineChars="0"/>
              <w:jc w:val="center"/>
              <w:textAlignment w:val="baseline"/>
              <w:rPr>
                <w:rFonts w:hint="default" w:ascii="等线" w:hAnsi="等线" w:eastAsia="等线" w:cs="等线"/>
                <w:i w:val="0"/>
                <w:iCs w:val="0"/>
                <w:color w:val="000000"/>
                <w:sz w:val="20"/>
                <w:szCs w:val="20"/>
                <w:u w:val="none"/>
                <w:lang w:val="en-US"/>
              </w:rPr>
            </w:pPr>
            <w:r>
              <w:rPr>
                <w:rFonts w:hint="eastAsia" w:ascii="等线" w:hAnsi="等线" w:eastAsia="等线" w:cs="等线"/>
                <w:i w:val="0"/>
                <w:iCs w:val="0"/>
                <w:color w:val="000000"/>
                <w:sz w:val="20"/>
                <w:szCs w:val="20"/>
                <w:u w:val="none"/>
                <w:lang w:val="en-US" w:eastAsia="zh-CN"/>
              </w:rPr>
              <w:t>[T(com.rosenzest.electric.util.BigDecimalUtil).roundHalfUp(ownerIncome,2)]</w:t>
            </w:r>
          </w:p>
        </w:tc>
        <w:tc>
          <w:tcPr>
            <w:tcW w:w="827" w:type="pct"/>
            <w:tcBorders>
              <w:top w:val="nil"/>
              <w:left w:val="nil"/>
              <w:bottom w:val="single" w:color="auto" w:sz="4" w:space="0"/>
              <w:right w:val="single" w:color="auto" w:sz="4" w:space="0"/>
            </w:tcBorders>
            <w:shd w:val="clear" w:color="auto" w:fill="auto"/>
            <w:noWrap/>
            <w:vAlign w:val="center"/>
          </w:tcPr>
          <w:p>
            <w:pPr>
              <w:pStyle w:val="11"/>
              <w:widowControl/>
              <w:kinsoku w:val="0"/>
              <w:autoSpaceDE w:val="0"/>
              <w:autoSpaceDN w:val="0"/>
              <w:adjustRightInd w:val="0"/>
              <w:snapToGrid w:val="0"/>
              <w:spacing w:before="77" w:line="206" w:lineRule="auto"/>
              <w:ind w:left="0" w:leftChars="0" w:firstLine="0" w:firstLineChars="0"/>
              <w:jc w:val="center"/>
              <w:textAlignment w:val="baseline"/>
              <w:rPr>
                <w:rFonts w:hint="default" w:ascii="等线" w:hAnsi="等线" w:eastAsia="等线" w:cs="等线"/>
                <w:i w:val="0"/>
                <w:iCs w:val="0"/>
                <w:color w:val="000000"/>
                <w:sz w:val="20"/>
                <w:szCs w:val="20"/>
                <w:u w:val="none"/>
                <w:lang w:val="en-US"/>
              </w:rPr>
            </w:pPr>
            <w:r>
              <w:rPr>
                <w:rFonts w:hint="eastAsia" w:ascii="等线" w:hAnsi="等线" w:eastAsia="等线" w:cs="等线"/>
                <w:i w:val="0"/>
                <w:iCs w:val="0"/>
                <w:color w:val="000000"/>
                <w:sz w:val="20"/>
                <w:szCs w:val="20"/>
                <w:u w:val="none"/>
                <w:lang w:val="en-US" w:eastAsia="zh-CN"/>
              </w:rPr>
              <w:t>[T(com.rosenzest.electric.util.BigDecimalUtil).roundHalfUp(investorIncome,2)]</w:t>
            </w:r>
          </w:p>
        </w:tc>
      </w:tr>
    </w:tbl>
    <w:p>
      <w:pPr>
        <w:numPr>
          <w:ilvl w:val="0"/>
          <w:numId w:val="0"/>
        </w:numPr>
        <w:jc w:val="left"/>
        <w:outlineLvl w:val="0"/>
        <w:rPr>
          <w:rFonts w:hint="eastAsia" w:ascii="宋体" w:hAnsi="宋体" w:eastAsia="宋体" w:cs="宋体"/>
          <w:b/>
          <w:bCs/>
          <w:sz w:val="28"/>
          <w:szCs w:val="28"/>
          <w:lang w:val="en-US" w:eastAsia="zh-CN"/>
        </w:rPr>
      </w:pPr>
    </w:p>
    <w:p>
      <w:pPr>
        <w:numPr>
          <w:ilvl w:val="0"/>
          <w:numId w:val="0"/>
        </w:numPr>
        <w:jc w:val="left"/>
        <w:outlineLvl w:val="0"/>
        <w:rPr>
          <w:rFonts w:hint="eastAsia" w:ascii="宋体" w:hAnsi="宋体" w:eastAsia="宋体" w:cs="宋体"/>
          <w:b/>
          <w:bCs/>
          <w:sz w:val="24"/>
          <w:szCs w:val="24"/>
          <w:lang w:val="en-US" w:eastAsia="zh-CN"/>
        </w:rPr>
      </w:pPr>
      <w:r>
        <w:rPr>
          <w:rFonts w:hint="eastAsia" w:ascii="宋体" w:hAnsi="宋体" w:eastAsia="宋体" w:cs="宋体"/>
          <w:b/>
          <w:bCs/>
          <w:sz w:val="28"/>
          <w:szCs w:val="28"/>
          <w:lang w:val="en-US" w:eastAsia="zh-CN"/>
        </w:rPr>
        <w:t>4、配储</w:t>
      </w:r>
      <w:bookmarkEnd w:id="4"/>
      <w:r>
        <w:rPr>
          <w:rFonts w:hint="eastAsia" w:ascii="宋体" w:hAnsi="宋体" w:eastAsia="宋体" w:cs="宋体"/>
          <w:b/>
          <w:bCs/>
          <w:sz w:val="28"/>
          <w:szCs w:val="28"/>
          <w:lang w:val="en-US" w:eastAsia="zh-CN"/>
        </w:rPr>
        <w:t>信息</w:t>
      </w:r>
    </w:p>
    <w:tbl>
      <w:tblPr>
        <w:tblStyle w:val="4"/>
        <w:tblW w:w="5000" w:type="pct"/>
        <w:jc w:val="center"/>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623"/>
        <w:gridCol w:w="6899"/>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auto"/>
        </w:tblPrEx>
        <w:trPr>
          <w:trHeight w:val="375" w:hRule="atLeast"/>
          <w:jc w:val="center"/>
        </w:trPr>
        <w:tc>
          <w:tcPr>
            <w:tcW w:w="5000" w:type="pct"/>
            <w:gridSpan w:val="2"/>
            <w:tcBorders>
              <w:top w:val="single" w:color="000000" w:sz="4" w:space="0"/>
              <w:left w:val="single" w:color="000000" w:sz="4" w:space="0"/>
              <w:bottom w:val="single" w:color="000000" w:sz="4" w:space="0"/>
              <w:right w:val="single" w:color="000000" w:sz="4" w:space="0"/>
              <w:tl2br w:val="nil"/>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b w:val="0"/>
                <w:bCs/>
                <w:i w:val="0"/>
                <w:iCs w:val="0"/>
                <w:color w:val="000000"/>
                <w:sz w:val="24"/>
                <w:szCs w:val="24"/>
                <w:u w:val="none"/>
              </w:rPr>
            </w:pPr>
            <w:r>
              <w:rPr>
                <w:rFonts w:hint="eastAsia" w:ascii="宋体" w:hAnsi="宋体" w:eastAsia="宋体" w:cs="宋体"/>
                <w:b w:val="0"/>
                <w:bCs/>
                <w:i w:val="0"/>
                <w:iCs w:val="0"/>
                <w:color w:val="000000"/>
                <w:kern w:val="0"/>
                <w:sz w:val="24"/>
                <w:szCs w:val="24"/>
                <w:u w:val="none"/>
                <w:lang w:val="en-US" w:eastAsia="zh-CN" w:bidi="ar"/>
              </w:rPr>
              <w:t>配置信息</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auto"/>
        </w:tblPrEx>
        <w:trPr>
          <w:trHeight w:val="375" w:hRule="atLeast"/>
          <w:jc w:val="center"/>
        </w:trPr>
        <w:tc>
          <w:tcPr>
            <w:tcW w:w="2582"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b w:val="0"/>
                <w:i w:val="0"/>
                <w:iCs w:val="0"/>
                <w:color w:val="000000"/>
                <w:sz w:val="24"/>
                <w:szCs w:val="24"/>
                <w:u w:val="none"/>
              </w:rPr>
            </w:pPr>
            <w:r>
              <w:rPr>
                <w:rFonts w:hint="eastAsia" w:ascii="宋体" w:hAnsi="宋体" w:eastAsia="宋体" w:cs="宋体"/>
                <w:b w:val="0"/>
                <w:i w:val="0"/>
                <w:iCs w:val="0"/>
                <w:color w:val="000000"/>
                <w:kern w:val="0"/>
                <w:sz w:val="24"/>
                <w:szCs w:val="24"/>
                <w:u w:val="none"/>
                <w:lang w:val="en-US" w:eastAsia="zh-CN" w:bidi="ar"/>
              </w:rPr>
              <w:t>系统总功率</w:t>
            </w:r>
          </w:p>
        </w:tc>
        <w:tc>
          <w:tcPr>
            <w:tcW w:w="2417"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default" w:ascii="宋体" w:hAnsi="宋体" w:eastAsia="宋体" w:cs="宋体"/>
                <w:b w:val="0"/>
                <w:i w:val="0"/>
                <w:iCs w:val="0"/>
                <w:color w:val="000000"/>
                <w:sz w:val="24"/>
                <w:szCs w:val="24"/>
                <w:u w:val="none"/>
                <w:lang w:val="en-US"/>
              </w:rPr>
            </w:pPr>
            <w:r>
              <w:rPr>
                <w:rFonts w:hint="eastAsia" w:ascii="宋体" w:hAnsi="宋体" w:eastAsia="宋体" w:cs="宋体"/>
                <w:sz w:val="24"/>
                <w:szCs w:val="24"/>
                <w:highlight w:val="none"/>
                <w:lang w:val="en-US" w:eastAsia="zh-CN"/>
              </w:rPr>
              <w:t>{{T(com.rosenzest.electric.util.BigDecimalUtil).roundHalfUp(power.t4a,0)}}kW</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auto"/>
        </w:tblPrEx>
        <w:trPr>
          <w:trHeight w:val="375" w:hRule="atLeast"/>
          <w:jc w:val="center"/>
        </w:trPr>
        <w:tc>
          <w:tcPr>
            <w:tcW w:w="2582"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b w:val="0"/>
                <w:i w:val="0"/>
                <w:iCs w:val="0"/>
                <w:color w:val="000000"/>
                <w:sz w:val="24"/>
                <w:szCs w:val="24"/>
                <w:highlight w:val="none"/>
                <w:u w:val="none"/>
              </w:rPr>
            </w:pPr>
            <w:r>
              <w:rPr>
                <w:rFonts w:hint="eastAsia" w:ascii="宋体" w:hAnsi="宋体" w:eastAsia="宋体" w:cs="宋体"/>
                <w:b w:val="0"/>
                <w:i w:val="0"/>
                <w:iCs w:val="0"/>
                <w:color w:val="000000"/>
                <w:kern w:val="0"/>
                <w:sz w:val="24"/>
                <w:szCs w:val="24"/>
                <w:highlight w:val="none"/>
                <w:u w:val="none"/>
                <w:lang w:val="en-US" w:eastAsia="zh-CN" w:bidi="ar"/>
              </w:rPr>
              <w:t>系统总容量</w:t>
            </w:r>
          </w:p>
        </w:tc>
        <w:tc>
          <w:tcPr>
            <w:tcW w:w="2417"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default" w:ascii="宋体" w:hAnsi="宋体" w:eastAsia="宋体" w:cs="宋体"/>
                <w:b w:val="0"/>
                <w:i w:val="0"/>
                <w:iCs w:val="0"/>
                <w:color w:val="000000"/>
                <w:sz w:val="24"/>
                <w:szCs w:val="24"/>
                <w:highlight w:val="none"/>
                <w:u w:val="none"/>
                <w:lang w:val="en-US"/>
              </w:rPr>
            </w:pPr>
            <w:r>
              <w:rPr>
                <w:rFonts w:hint="eastAsia" w:ascii="宋体" w:hAnsi="宋体" w:eastAsia="宋体" w:cs="宋体"/>
                <w:b w:val="0"/>
                <w:i w:val="0"/>
                <w:iCs w:val="0"/>
                <w:color w:val="000000"/>
                <w:kern w:val="0"/>
                <w:sz w:val="24"/>
                <w:szCs w:val="24"/>
                <w:highlight w:val="none"/>
                <w:u w:val="none"/>
                <w:lang w:val="en-US" w:eastAsia="zh-CN" w:bidi="ar"/>
              </w:rPr>
              <w:t>{{T(com.rosenzest.electric.util.BigDecimalUtil).roundHalfUp(power.t4b,0)}}kWh</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auto"/>
        </w:tblPrEx>
        <w:trPr>
          <w:trHeight w:val="285" w:hRule="atLeast"/>
          <w:jc w:val="center"/>
        </w:trPr>
        <w:tc>
          <w:tcPr>
            <w:tcW w:w="2582"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b w:val="0"/>
                <w:i w:val="0"/>
                <w:iCs w:val="0"/>
                <w:color w:val="000000"/>
                <w:sz w:val="24"/>
                <w:szCs w:val="24"/>
                <w:u w:val="none"/>
              </w:rPr>
            </w:pPr>
            <w:r>
              <w:rPr>
                <w:rFonts w:hint="eastAsia" w:ascii="宋体" w:hAnsi="宋体" w:eastAsia="宋体" w:cs="宋体"/>
                <w:b w:val="0"/>
                <w:i w:val="0"/>
                <w:iCs w:val="0"/>
                <w:color w:val="000000"/>
                <w:kern w:val="0"/>
                <w:sz w:val="24"/>
                <w:szCs w:val="24"/>
                <w:u w:val="none"/>
                <w:lang w:val="en-US" w:eastAsia="zh-CN" w:bidi="ar"/>
              </w:rPr>
              <w:t>电芯型号</w:t>
            </w:r>
          </w:p>
        </w:tc>
        <w:tc>
          <w:tcPr>
            <w:tcW w:w="2417"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b w:val="0"/>
                <w:i w:val="0"/>
                <w:iCs w:val="0"/>
                <w:color w:val="000000"/>
                <w:sz w:val="24"/>
                <w:szCs w:val="24"/>
                <w:u w:val="none"/>
              </w:rPr>
            </w:pPr>
            <w:r>
              <w:rPr>
                <w:rFonts w:hint="eastAsia" w:ascii="宋体" w:hAnsi="宋体" w:eastAsia="宋体" w:cs="宋体"/>
                <w:b w:val="0"/>
                <w:i w:val="0"/>
                <w:iCs w:val="0"/>
                <w:color w:val="000000"/>
                <w:kern w:val="0"/>
                <w:sz w:val="24"/>
                <w:szCs w:val="24"/>
                <w:u w:val="none"/>
                <w:lang w:val="en-US" w:eastAsia="zh-CN" w:bidi="ar"/>
              </w:rPr>
              <w:t>LFP-3.2V-280Ah</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auto"/>
        </w:tblPrEx>
        <w:trPr>
          <w:trHeight w:val="270" w:hRule="atLeast"/>
          <w:jc w:val="center"/>
        </w:trPr>
        <w:tc>
          <w:tcPr>
            <w:tcW w:w="2582"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b w:val="0"/>
                <w:i w:val="0"/>
                <w:iCs w:val="0"/>
                <w:color w:val="000000"/>
                <w:sz w:val="24"/>
                <w:szCs w:val="24"/>
                <w:u w:val="none"/>
              </w:rPr>
            </w:pPr>
            <w:r>
              <w:rPr>
                <w:rFonts w:hint="eastAsia" w:ascii="宋体" w:hAnsi="宋体" w:eastAsia="宋体" w:cs="宋体"/>
                <w:b w:val="0"/>
                <w:i w:val="0"/>
                <w:iCs w:val="0"/>
                <w:color w:val="000000"/>
                <w:kern w:val="0"/>
                <w:sz w:val="24"/>
                <w:szCs w:val="24"/>
                <w:u w:val="none"/>
                <w:lang w:val="en-US" w:eastAsia="zh-CN" w:bidi="ar"/>
              </w:rPr>
              <w:t>储能系统型号</w:t>
            </w:r>
          </w:p>
        </w:tc>
        <w:tc>
          <w:tcPr>
            <w:tcW w:w="2417"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b w:val="0"/>
                <w:i w:val="0"/>
                <w:iCs w:val="0"/>
                <w:color w:val="000000"/>
                <w:sz w:val="24"/>
                <w:szCs w:val="24"/>
                <w:u w:val="none"/>
              </w:rPr>
            </w:pPr>
            <w:r>
              <w:rPr>
                <w:rFonts w:hint="eastAsia" w:ascii="宋体" w:hAnsi="宋体" w:eastAsia="宋体" w:cs="宋体"/>
                <w:b w:val="0"/>
                <w:i w:val="0"/>
                <w:iCs w:val="0"/>
                <w:color w:val="000000"/>
                <w:kern w:val="0"/>
                <w:sz w:val="24"/>
                <w:szCs w:val="24"/>
                <w:u w:val="none"/>
                <w:lang w:val="en-US" w:eastAsia="zh-CN" w:bidi="ar"/>
              </w:rPr>
              <w:t>100kW/215kWh</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auto"/>
        </w:tblPrEx>
        <w:trPr>
          <w:trHeight w:val="270" w:hRule="atLeast"/>
          <w:jc w:val="center"/>
        </w:trPr>
        <w:tc>
          <w:tcPr>
            <w:tcW w:w="2582"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b w:val="0"/>
                <w:i w:val="0"/>
                <w:iCs w:val="0"/>
                <w:color w:val="000000"/>
                <w:sz w:val="24"/>
                <w:szCs w:val="24"/>
                <w:u w:val="none"/>
              </w:rPr>
            </w:pPr>
            <w:r>
              <w:rPr>
                <w:rFonts w:hint="eastAsia" w:ascii="宋体" w:hAnsi="宋体" w:eastAsia="宋体" w:cs="宋体"/>
                <w:b w:val="0"/>
                <w:i w:val="0"/>
                <w:iCs w:val="0"/>
                <w:color w:val="000000"/>
                <w:kern w:val="0"/>
                <w:sz w:val="24"/>
                <w:szCs w:val="24"/>
                <w:u w:val="none"/>
                <w:lang w:val="en-US" w:eastAsia="zh-CN" w:bidi="ar"/>
              </w:rPr>
              <w:t>并网等级</w:t>
            </w:r>
          </w:p>
        </w:tc>
        <w:tc>
          <w:tcPr>
            <w:tcW w:w="2417"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b w:val="0"/>
                <w:i w:val="0"/>
                <w:iCs w:val="0"/>
                <w:color w:val="000000"/>
                <w:sz w:val="24"/>
                <w:szCs w:val="24"/>
                <w:u w:val="none"/>
              </w:rPr>
            </w:pPr>
            <w:r>
              <w:rPr>
                <w:rFonts w:hint="eastAsia" w:ascii="宋体" w:hAnsi="宋体" w:eastAsia="宋体" w:cs="宋体"/>
                <w:b w:val="0"/>
                <w:i w:val="0"/>
                <w:iCs w:val="0"/>
                <w:color w:val="000000"/>
                <w:kern w:val="0"/>
                <w:sz w:val="24"/>
                <w:szCs w:val="24"/>
                <w:u w:val="none"/>
                <w:lang w:val="en-US" w:eastAsia="zh-CN" w:bidi="ar"/>
              </w:rPr>
              <w:t>0.4kV</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auto"/>
        </w:tblPrEx>
        <w:trPr>
          <w:trHeight w:val="270" w:hRule="atLeast"/>
          <w:jc w:val="center"/>
        </w:trPr>
        <w:tc>
          <w:tcPr>
            <w:tcW w:w="2582"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b w:val="0"/>
                <w:i w:val="0"/>
                <w:iCs w:val="0"/>
                <w:color w:val="000000"/>
                <w:sz w:val="24"/>
                <w:szCs w:val="24"/>
                <w:u w:val="none"/>
              </w:rPr>
            </w:pPr>
            <w:r>
              <w:rPr>
                <w:rFonts w:hint="eastAsia" w:ascii="宋体" w:hAnsi="宋体" w:eastAsia="宋体" w:cs="宋体"/>
                <w:b w:val="0"/>
                <w:i w:val="0"/>
                <w:iCs w:val="0"/>
                <w:color w:val="000000"/>
                <w:kern w:val="0"/>
                <w:sz w:val="24"/>
                <w:szCs w:val="24"/>
                <w:u w:val="none"/>
                <w:lang w:val="en-US" w:eastAsia="zh-CN" w:bidi="ar"/>
              </w:rPr>
              <w:t>盈利模式</w:t>
            </w:r>
          </w:p>
        </w:tc>
        <w:tc>
          <w:tcPr>
            <w:tcW w:w="2417"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b w:val="0"/>
                <w:i w:val="0"/>
                <w:iCs w:val="0"/>
                <w:color w:val="000000"/>
                <w:sz w:val="24"/>
                <w:szCs w:val="24"/>
                <w:u w:val="none"/>
              </w:rPr>
            </w:pPr>
            <w:r>
              <w:rPr>
                <w:rFonts w:hint="eastAsia" w:ascii="宋体" w:hAnsi="宋体" w:eastAsia="宋体" w:cs="宋体"/>
                <w:b w:val="0"/>
                <w:i w:val="0"/>
                <w:iCs w:val="0"/>
                <w:color w:val="000000"/>
                <w:kern w:val="0"/>
                <w:sz w:val="24"/>
                <w:szCs w:val="24"/>
                <w:u w:val="none"/>
                <w:lang w:val="en-US" w:eastAsia="zh-CN" w:bidi="ar"/>
              </w:rPr>
              <w:t>削峰填谷</w:t>
            </w:r>
          </w:p>
        </w:tc>
      </w:tr>
    </w:tbl>
    <w:p>
      <w:pPr>
        <w:numPr>
          <w:ilvl w:val="0"/>
          <w:numId w:val="0"/>
        </w:numPr>
        <w:jc w:val="both"/>
        <w:rPr>
          <w:rFonts w:hint="default"/>
          <w:sz w:val="28"/>
          <w:szCs w:val="22"/>
          <w:lang w:val="en-US" w:eastAsia="zh-CN"/>
        </w:rPr>
      </w:pPr>
      <w:r>
        <w:rPr>
          <w:rFonts w:hint="eastAsia"/>
          <w:sz w:val="28"/>
          <w:szCs w:val="22"/>
          <w:lang w:val="en-US" w:eastAsia="zh-CN"/>
        </w:rPr>
        <w:t>储能内部结构：</w:t>
      </w:r>
    </w:p>
    <w:p>
      <w:pPr>
        <w:numPr>
          <w:ilvl w:val="0"/>
          <w:numId w:val="0"/>
        </w:numPr>
        <w:jc w:val="both"/>
        <w:rPr>
          <w:rFonts w:hint="eastAsia"/>
          <w:sz w:val="28"/>
          <w:szCs w:val="22"/>
          <w:lang w:val="en-US" w:eastAsia="zh-CN"/>
        </w:rPr>
      </w:pPr>
      <w:r>
        <w:drawing>
          <wp:anchor distT="0" distB="0" distL="114300" distR="114300" simplePos="0" relativeHeight="251660288" behindDoc="1" locked="0" layoutInCell="1" allowOverlap="1">
            <wp:simplePos x="0" y="0"/>
            <wp:positionH relativeFrom="column">
              <wp:posOffset>15875</wp:posOffset>
            </wp:positionH>
            <wp:positionV relativeFrom="paragraph">
              <wp:posOffset>31115</wp:posOffset>
            </wp:positionV>
            <wp:extent cx="5260340" cy="5358765"/>
            <wp:effectExtent l="15875" t="15875" r="19685" b="0"/>
            <wp:wrapTight wrapText="bothSides">
              <wp:wrapPolygon>
                <wp:start x="-65" y="-64"/>
                <wp:lineTo x="-65" y="21590"/>
                <wp:lineTo x="21603" y="21590"/>
                <wp:lineTo x="21603" y="-64"/>
                <wp:lineTo x="-65" y="-64"/>
              </wp:wrapPolygon>
            </wp:wrapTight>
            <wp:docPr id="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9"/>
                    <pic:cNvPicPr>
                      <a:picLocks noChangeAspect="1"/>
                    </pic:cNvPicPr>
                  </pic:nvPicPr>
                  <pic:blipFill>
                    <a:blip r:embed="rId8"/>
                    <a:stretch>
                      <a:fillRect/>
                    </a:stretch>
                  </pic:blipFill>
                  <pic:spPr>
                    <a:xfrm>
                      <a:off x="0" y="0"/>
                      <a:ext cx="5260340" cy="5358765"/>
                    </a:xfrm>
                    <a:prstGeom prst="rect">
                      <a:avLst/>
                    </a:prstGeom>
                    <a:ln w="15875" cmpd="sng">
                      <a:solidFill>
                        <a:srgbClr val="C00000"/>
                      </a:solidFill>
                      <a:prstDash val="sysDot"/>
                    </a:ln>
                  </pic:spPr>
                </pic:pic>
              </a:graphicData>
            </a:graphic>
          </wp:anchor>
        </w:drawing>
      </w:r>
    </w:p>
    <w:p>
      <w:pPr>
        <w:numPr>
          <w:ilvl w:val="0"/>
          <w:numId w:val="0"/>
        </w:numPr>
        <w:jc w:val="left"/>
        <w:rPr>
          <w:rFonts w:hint="default"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产品参数情况：</w:t>
      </w:r>
    </w:p>
    <w:tbl>
      <w:tblPr>
        <w:tblStyle w:val="4"/>
        <w:tblW w:w="8580" w:type="dxa"/>
        <w:jc w:val="center"/>
        <w:tblCellSpacing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074"/>
        <w:gridCol w:w="1860"/>
        <w:gridCol w:w="2670"/>
        <w:gridCol w:w="1785"/>
        <w:gridCol w:w="11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520" w:hRule="atLeast"/>
          <w:tblCellSpacing w:w="0" w:type="dxa"/>
          <w:jc w:val="center"/>
        </w:trPr>
        <w:tc>
          <w:tcPr>
            <w:tcW w:w="1074" w:type="dxa"/>
            <w:tcBorders>
              <w:top w:val="single" w:color="000000" w:sz="4" w:space="0"/>
              <w:left w:val="single" w:color="000000" w:sz="4" w:space="0"/>
              <w:bottom w:val="single" w:color="000000" w:sz="4" w:space="0"/>
              <w:right w:val="single" w:color="000000" w:sz="4" w:space="0"/>
              <w:tl2br w:val="nil"/>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bCs/>
                <w:color w:val="000000"/>
                <w:sz w:val="24"/>
                <w:szCs w:val="24"/>
              </w:rPr>
              <w:t>序号</w:t>
            </w:r>
          </w:p>
        </w:tc>
        <w:tc>
          <w:tcPr>
            <w:tcW w:w="1860"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bCs/>
                <w:color w:val="000000"/>
                <w:sz w:val="24"/>
                <w:szCs w:val="24"/>
              </w:rPr>
              <w:t>类别</w:t>
            </w:r>
          </w:p>
        </w:tc>
        <w:tc>
          <w:tcPr>
            <w:tcW w:w="2670"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bCs/>
                <w:color w:val="000000"/>
                <w:sz w:val="24"/>
                <w:szCs w:val="24"/>
              </w:rPr>
              <w:t>名称</w:t>
            </w:r>
          </w:p>
        </w:tc>
        <w:tc>
          <w:tcPr>
            <w:tcW w:w="1785"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bCs/>
                <w:color w:val="000000"/>
                <w:sz w:val="24"/>
                <w:szCs w:val="24"/>
              </w:rPr>
              <w:t>参数</w:t>
            </w:r>
          </w:p>
        </w:tc>
        <w:tc>
          <w:tcPr>
            <w:tcW w:w="1191"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bCs/>
                <w:color w:val="000000"/>
                <w:sz w:val="24"/>
                <w:szCs w:val="24"/>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520" w:hRule="atLeast"/>
          <w:tblCellSpacing w:w="0" w:type="dxa"/>
          <w:jc w:val="center"/>
        </w:trPr>
        <w:tc>
          <w:tcPr>
            <w:tcW w:w="1074" w:type="dxa"/>
            <w:vMerge w:val="restart"/>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bCs/>
                <w:color w:val="000000"/>
                <w:sz w:val="24"/>
                <w:szCs w:val="24"/>
              </w:rPr>
              <w:t>1</w:t>
            </w:r>
          </w:p>
        </w:tc>
        <w:tc>
          <w:tcPr>
            <w:tcW w:w="1860" w:type="dxa"/>
            <w:vMerge w:val="restart"/>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直流参数</w:t>
            </w:r>
          </w:p>
        </w:tc>
        <w:tc>
          <w:tcPr>
            <w:tcW w:w="2670"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电芯类型</w:t>
            </w:r>
          </w:p>
        </w:tc>
        <w:tc>
          <w:tcPr>
            <w:tcW w:w="1785"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ind w:left="0" w:leftChars="0" w:firstLine="0" w:firstLineChars="0"/>
              <w:rPr>
                <w:b w:val="0"/>
                <w:color w:val="000000"/>
              </w:rPr>
            </w:pPr>
            <w:r>
              <w:rPr>
                <w:b w:val="0"/>
                <w:color w:val="000000"/>
                <w:sz w:val="24"/>
                <w:szCs w:val="24"/>
              </w:rPr>
              <w:t>LFP-3.2V-280Ah</w:t>
            </w:r>
          </w:p>
        </w:tc>
        <w:tc>
          <w:tcPr>
            <w:tcW w:w="1191"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520" w:hRule="atLeast"/>
          <w:tblCellSpacing w:w="0" w:type="dxa"/>
          <w:jc w:val="center"/>
        </w:trPr>
        <w:tc>
          <w:tcPr>
            <w:tcW w:w="1074" w:type="dxa"/>
            <w:vMerge w:val="continue"/>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rPr>
                <w:rFonts w:hint="eastAsia" w:ascii="宋体"/>
                <w:b w:val="0"/>
                <w:color w:val="000000"/>
                <w:sz w:val="24"/>
                <w:szCs w:val="24"/>
              </w:rPr>
            </w:pPr>
          </w:p>
        </w:tc>
        <w:tc>
          <w:tcPr>
            <w:tcW w:w="1860" w:type="dxa"/>
            <w:vMerge w:val="continue"/>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rPr>
                <w:rFonts w:hint="eastAsia" w:ascii="宋体"/>
                <w:b w:val="0"/>
                <w:color w:val="000000"/>
                <w:sz w:val="24"/>
                <w:szCs w:val="24"/>
              </w:rPr>
            </w:pPr>
          </w:p>
        </w:tc>
        <w:tc>
          <w:tcPr>
            <w:tcW w:w="2670"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rFonts w:hint="default" w:eastAsiaTheme="minorEastAsia"/>
                <w:b w:val="0"/>
                <w:color w:val="000000"/>
                <w:lang w:val="en-US" w:eastAsia="zh-CN"/>
              </w:rPr>
            </w:pPr>
            <w:r>
              <w:rPr>
                <w:b w:val="0"/>
                <w:color w:val="000000"/>
                <w:sz w:val="24"/>
                <w:szCs w:val="24"/>
              </w:rPr>
              <w:t>电池额定容量</w:t>
            </w:r>
            <w:r>
              <w:rPr>
                <w:rFonts w:hint="eastAsia"/>
                <w:b w:val="0"/>
                <w:color w:val="000000"/>
                <w:sz w:val="24"/>
                <w:szCs w:val="24"/>
                <w:lang w:val="en-US" w:eastAsia="zh-CN"/>
              </w:rPr>
              <w:t>(kwh)</w:t>
            </w:r>
          </w:p>
        </w:tc>
        <w:tc>
          <w:tcPr>
            <w:tcW w:w="1785"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215.04</w:t>
            </w:r>
          </w:p>
        </w:tc>
        <w:tc>
          <w:tcPr>
            <w:tcW w:w="1191"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520" w:hRule="atLeast"/>
          <w:tblCellSpacing w:w="0" w:type="dxa"/>
          <w:jc w:val="center"/>
        </w:trPr>
        <w:tc>
          <w:tcPr>
            <w:tcW w:w="1074" w:type="dxa"/>
            <w:vMerge w:val="continue"/>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rPr>
                <w:rFonts w:hint="eastAsia" w:ascii="宋体"/>
                <w:b w:val="0"/>
                <w:color w:val="000000"/>
                <w:sz w:val="24"/>
                <w:szCs w:val="24"/>
              </w:rPr>
            </w:pPr>
          </w:p>
        </w:tc>
        <w:tc>
          <w:tcPr>
            <w:tcW w:w="1860" w:type="dxa"/>
            <w:vMerge w:val="continue"/>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rPr>
                <w:rFonts w:hint="eastAsia" w:ascii="宋体"/>
                <w:b w:val="0"/>
                <w:color w:val="000000"/>
                <w:sz w:val="24"/>
                <w:szCs w:val="24"/>
              </w:rPr>
            </w:pPr>
          </w:p>
        </w:tc>
        <w:tc>
          <w:tcPr>
            <w:tcW w:w="2670"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标称电压[Vdc]</w:t>
            </w:r>
          </w:p>
        </w:tc>
        <w:tc>
          <w:tcPr>
            <w:tcW w:w="1785"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768</w:t>
            </w:r>
          </w:p>
        </w:tc>
        <w:tc>
          <w:tcPr>
            <w:tcW w:w="1191"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520" w:hRule="atLeast"/>
          <w:tblCellSpacing w:w="0" w:type="dxa"/>
          <w:jc w:val="center"/>
        </w:trPr>
        <w:tc>
          <w:tcPr>
            <w:tcW w:w="1074" w:type="dxa"/>
            <w:vMerge w:val="continue"/>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rPr>
                <w:rFonts w:hint="eastAsia" w:ascii="宋体"/>
                <w:b w:val="0"/>
                <w:color w:val="000000"/>
                <w:sz w:val="24"/>
                <w:szCs w:val="24"/>
              </w:rPr>
            </w:pPr>
          </w:p>
        </w:tc>
        <w:tc>
          <w:tcPr>
            <w:tcW w:w="1860" w:type="dxa"/>
            <w:vMerge w:val="continue"/>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rPr>
                <w:rFonts w:hint="eastAsia" w:ascii="宋体"/>
                <w:b w:val="0"/>
                <w:color w:val="000000"/>
                <w:sz w:val="24"/>
                <w:szCs w:val="24"/>
              </w:rPr>
            </w:pPr>
          </w:p>
        </w:tc>
        <w:tc>
          <w:tcPr>
            <w:tcW w:w="2670"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充放电倍率</w:t>
            </w:r>
          </w:p>
        </w:tc>
        <w:tc>
          <w:tcPr>
            <w:tcW w:w="1785"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≤0.5CP</w:t>
            </w:r>
          </w:p>
        </w:tc>
        <w:tc>
          <w:tcPr>
            <w:tcW w:w="1191"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520" w:hRule="atLeast"/>
          <w:tblCellSpacing w:w="0" w:type="dxa"/>
          <w:jc w:val="center"/>
        </w:trPr>
        <w:tc>
          <w:tcPr>
            <w:tcW w:w="1074" w:type="dxa"/>
            <w:vMerge w:val="restart"/>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bCs/>
                <w:color w:val="000000"/>
                <w:sz w:val="24"/>
                <w:szCs w:val="24"/>
              </w:rPr>
              <w:t>2</w:t>
            </w:r>
          </w:p>
        </w:tc>
        <w:tc>
          <w:tcPr>
            <w:tcW w:w="1860" w:type="dxa"/>
            <w:vMerge w:val="restart"/>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交流参数</w:t>
            </w:r>
          </w:p>
        </w:tc>
        <w:tc>
          <w:tcPr>
            <w:tcW w:w="2670"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额定功率</w:t>
            </w:r>
          </w:p>
        </w:tc>
        <w:tc>
          <w:tcPr>
            <w:tcW w:w="1785"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100kW</w:t>
            </w:r>
          </w:p>
        </w:tc>
        <w:tc>
          <w:tcPr>
            <w:tcW w:w="1191"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520" w:hRule="atLeast"/>
          <w:tblCellSpacing w:w="0" w:type="dxa"/>
          <w:jc w:val="center"/>
        </w:trPr>
        <w:tc>
          <w:tcPr>
            <w:tcW w:w="1074" w:type="dxa"/>
            <w:vMerge w:val="continue"/>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rPr>
                <w:rFonts w:hint="eastAsia" w:ascii="宋体"/>
                <w:b w:val="0"/>
                <w:color w:val="000000"/>
                <w:sz w:val="24"/>
                <w:szCs w:val="24"/>
              </w:rPr>
            </w:pPr>
          </w:p>
        </w:tc>
        <w:tc>
          <w:tcPr>
            <w:tcW w:w="1860" w:type="dxa"/>
            <w:vMerge w:val="continue"/>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rPr>
                <w:rFonts w:hint="eastAsia" w:ascii="宋体"/>
                <w:b w:val="0"/>
                <w:color w:val="000000"/>
                <w:sz w:val="24"/>
                <w:szCs w:val="24"/>
              </w:rPr>
            </w:pPr>
          </w:p>
        </w:tc>
        <w:tc>
          <w:tcPr>
            <w:tcW w:w="2670"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额定电网电压</w:t>
            </w:r>
          </w:p>
        </w:tc>
        <w:tc>
          <w:tcPr>
            <w:tcW w:w="1785"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400VAC</w:t>
            </w:r>
          </w:p>
        </w:tc>
        <w:tc>
          <w:tcPr>
            <w:tcW w:w="1191"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520" w:hRule="atLeast"/>
          <w:tblCellSpacing w:w="0" w:type="dxa"/>
          <w:jc w:val="center"/>
        </w:trPr>
        <w:tc>
          <w:tcPr>
            <w:tcW w:w="1074" w:type="dxa"/>
            <w:vMerge w:val="continue"/>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rPr>
                <w:rFonts w:hint="eastAsia" w:ascii="宋体"/>
                <w:b w:val="0"/>
                <w:color w:val="000000"/>
                <w:sz w:val="24"/>
                <w:szCs w:val="24"/>
              </w:rPr>
            </w:pPr>
          </w:p>
        </w:tc>
        <w:tc>
          <w:tcPr>
            <w:tcW w:w="1860" w:type="dxa"/>
            <w:vMerge w:val="continue"/>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rPr>
                <w:rFonts w:hint="eastAsia" w:ascii="宋体"/>
                <w:b w:val="0"/>
                <w:color w:val="000000"/>
                <w:sz w:val="24"/>
                <w:szCs w:val="24"/>
              </w:rPr>
            </w:pPr>
          </w:p>
        </w:tc>
        <w:tc>
          <w:tcPr>
            <w:tcW w:w="2670"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额定电流</w:t>
            </w:r>
          </w:p>
        </w:tc>
        <w:tc>
          <w:tcPr>
            <w:tcW w:w="1785"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144A</w:t>
            </w:r>
          </w:p>
        </w:tc>
        <w:tc>
          <w:tcPr>
            <w:tcW w:w="1191"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520" w:hRule="atLeast"/>
          <w:tblCellSpacing w:w="0" w:type="dxa"/>
          <w:jc w:val="center"/>
        </w:trPr>
        <w:tc>
          <w:tcPr>
            <w:tcW w:w="1074" w:type="dxa"/>
            <w:vMerge w:val="continue"/>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rPr>
                <w:rFonts w:hint="eastAsia" w:ascii="宋体"/>
                <w:b w:val="0"/>
                <w:color w:val="000000"/>
                <w:sz w:val="24"/>
                <w:szCs w:val="24"/>
              </w:rPr>
            </w:pPr>
          </w:p>
        </w:tc>
        <w:tc>
          <w:tcPr>
            <w:tcW w:w="1860" w:type="dxa"/>
            <w:vMerge w:val="continue"/>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rPr>
                <w:rFonts w:hint="eastAsia" w:ascii="宋体"/>
                <w:b w:val="0"/>
                <w:color w:val="000000"/>
                <w:sz w:val="24"/>
                <w:szCs w:val="24"/>
              </w:rPr>
            </w:pPr>
          </w:p>
        </w:tc>
        <w:tc>
          <w:tcPr>
            <w:tcW w:w="2670"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额定电网频率</w:t>
            </w:r>
          </w:p>
        </w:tc>
        <w:tc>
          <w:tcPr>
            <w:tcW w:w="1785"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50Hz/60Hz</w:t>
            </w:r>
          </w:p>
        </w:tc>
        <w:tc>
          <w:tcPr>
            <w:tcW w:w="1191"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40" w:hRule="atLeast"/>
          <w:tblCellSpacing w:w="0" w:type="dxa"/>
          <w:jc w:val="center"/>
        </w:trPr>
        <w:tc>
          <w:tcPr>
            <w:tcW w:w="1074" w:type="dxa"/>
            <w:vMerge w:val="restart"/>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pStyle w:val="8"/>
              <w:keepNext w:val="0"/>
              <w:keepLines w:val="0"/>
              <w:widowControl/>
              <w:suppressLineNumbers w:val="0"/>
              <w:rPr>
                <w:b w:val="0"/>
                <w:color w:val="000000"/>
              </w:rPr>
            </w:pPr>
            <w:r>
              <w:rPr>
                <w:b w:val="0"/>
                <w:bCs/>
                <w:color w:val="000000"/>
                <w:sz w:val="24"/>
                <w:szCs w:val="24"/>
              </w:rPr>
              <w:t>3</w:t>
            </w:r>
          </w:p>
        </w:tc>
        <w:tc>
          <w:tcPr>
            <w:tcW w:w="1860" w:type="dxa"/>
            <w:vMerge w:val="restart"/>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pStyle w:val="8"/>
              <w:keepNext w:val="0"/>
              <w:keepLines w:val="0"/>
              <w:widowControl/>
              <w:suppressLineNumbers w:val="0"/>
              <w:rPr>
                <w:b w:val="0"/>
                <w:color w:val="000000"/>
              </w:rPr>
            </w:pPr>
            <w:r>
              <w:rPr>
                <w:b w:val="0"/>
                <w:color w:val="000000"/>
                <w:sz w:val="24"/>
                <w:szCs w:val="24"/>
              </w:rPr>
              <w:t>系统参数</w:t>
            </w:r>
          </w:p>
        </w:tc>
        <w:tc>
          <w:tcPr>
            <w:tcW w:w="2670"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消防系统</w:t>
            </w:r>
          </w:p>
        </w:tc>
        <w:tc>
          <w:tcPr>
            <w:tcW w:w="1785"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ind w:left="0" w:leftChars="0" w:firstLine="0" w:firstLineChars="0"/>
              <w:rPr>
                <w:b w:val="0"/>
                <w:color w:val="000000"/>
              </w:rPr>
            </w:pPr>
            <w:r>
              <w:rPr>
                <w:b w:val="0"/>
                <w:color w:val="000000"/>
                <w:sz w:val="24"/>
                <w:szCs w:val="24"/>
              </w:rPr>
              <w:t>S型气溶胶 /全氟己酮</w:t>
            </w:r>
          </w:p>
        </w:tc>
        <w:tc>
          <w:tcPr>
            <w:tcW w:w="1191"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560" w:hRule="atLeast"/>
          <w:tblCellSpacing w:w="0" w:type="dxa"/>
          <w:jc w:val="center"/>
        </w:trPr>
        <w:tc>
          <w:tcPr>
            <w:tcW w:w="1074" w:type="dxa"/>
            <w:vMerge w:val="continue"/>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rPr>
                <w:rFonts w:hint="eastAsia" w:ascii="宋体"/>
                <w:b w:val="0"/>
                <w:color w:val="000000"/>
                <w:sz w:val="24"/>
                <w:szCs w:val="24"/>
              </w:rPr>
            </w:pPr>
          </w:p>
        </w:tc>
        <w:tc>
          <w:tcPr>
            <w:tcW w:w="186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rPr>
                <w:rFonts w:hint="eastAsia" w:ascii="宋体"/>
                <w:b w:val="0"/>
                <w:color w:val="000000"/>
                <w:sz w:val="24"/>
                <w:szCs w:val="24"/>
              </w:rPr>
            </w:pPr>
          </w:p>
        </w:tc>
        <w:tc>
          <w:tcPr>
            <w:tcW w:w="2670"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防腐等级</w:t>
            </w:r>
          </w:p>
        </w:tc>
        <w:tc>
          <w:tcPr>
            <w:tcW w:w="1785"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C3</w:t>
            </w:r>
          </w:p>
        </w:tc>
        <w:tc>
          <w:tcPr>
            <w:tcW w:w="1191" w:type="dxa"/>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top"/>
          </w:tcPr>
          <w:p>
            <w:pPr>
              <w:pStyle w:val="8"/>
              <w:keepNext w:val="0"/>
              <w:keepLines w:val="0"/>
              <w:widowControl/>
              <w:suppressLineNumbers w:val="0"/>
              <w:rPr>
                <w:b w:val="0"/>
                <w:color w:val="00000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560" w:hRule="atLeast"/>
          <w:tblCellSpacing w:w="0" w:type="dxa"/>
          <w:jc w:val="center"/>
        </w:trPr>
        <w:tc>
          <w:tcPr>
            <w:tcW w:w="1074" w:type="dxa"/>
            <w:vMerge w:val="continue"/>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rPr>
                <w:rFonts w:hint="eastAsia" w:ascii="宋体"/>
                <w:b w:val="0"/>
                <w:color w:val="000000"/>
                <w:sz w:val="24"/>
                <w:szCs w:val="24"/>
              </w:rPr>
            </w:pPr>
          </w:p>
        </w:tc>
        <w:tc>
          <w:tcPr>
            <w:tcW w:w="186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rPr>
                <w:rFonts w:hint="eastAsia" w:ascii="宋体"/>
                <w:b w:val="0"/>
                <w:color w:val="000000"/>
                <w:sz w:val="24"/>
                <w:szCs w:val="24"/>
              </w:rPr>
            </w:pPr>
          </w:p>
        </w:tc>
        <w:tc>
          <w:tcPr>
            <w:tcW w:w="2670"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防护等级</w:t>
            </w:r>
          </w:p>
        </w:tc>
        <w:tc>
          <w:tcPr>
            <w:tcW w:w="1785"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IP55</w:t>
            </w:r>
          </w:p>
        </w:tc>
        <w:tc>
          <w:tcPr>
            <w:tcW w:w="1191" w:type="dxa"/>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top"/>
          </w:tcPr>
          <w:p>
            <w:pPr>
              <w:pStyle w:val="8"/>
              <w:keepNext w:val="0"/>
              <w:keepLines w:val="0"/>
              <w:widowControl/>
              <w:suppressLineNumbers w:val="0"/>
              <w:rPr>
                <w:b w:val="0"/>
                <w:color w:val="00000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40" w:hRule="atLeast"/>
          <w:tblCellSpacing w:w="0" w:type="dxa"/>
          <w:jc w:val="center"/>
        </w:trPr>
        <w:tc>
          <w:tcPr>
            <w:tcW w:w="1074" w:type="dxa"/>
            <w:vMerge w:val="continue"/>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rPr>
                <w:rFonts w:hint="eastAsia" w:ascii="宋体"/>
                <w:b w:val="0"/>
                <w:color w:val="000000"/>
                <w:sz w:val="24"/>
                <w:szCs w:val="24"/>
              </w:rPr>
            </w:pPr>
          </w:p>
        </w:tc>
        <w:tc>
          <w:tcPr>
            <w:tcW w:w="186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rPr>
                <w:rFonts w:hint="eastAsia" w:ascii="宋体"/>
                <w:b w:val="0"/>
                <w:color w:val="000000"/>
                <w:sz w:val="24"/>
                <w:szCs w:val="24"/>
              </w:rPr>
            </w:pPr>
          </w:p>
        </w:tc>
        <w:tc>
          <w:tcPr>
            <w:tcW w:w="2670"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尺寸[mm]</w:t>
            </w:r>
          </w:p>
        </w:tc>
        <w:tc>
          <w:tcPr>
            <w:tcW w:w="1785"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ind w:left="0" w:leftChars="0" w:firstLine="0" w:firstLineChars="0"/>
              <w:rPr>
                <w:b w:val="0"/>
                <w:color w:val="000000"/>
              </w:rPr>
            </w:pPr>
            <w:r>
              <w:rPr>
                <w:b w:val="0"/>
                <w:color w:val="000000"/>
                <w:sz w:val="24"/>
                <w:szCs w:val="24"/>
              </w:rPr>
              <w:t>1400*1200*2200</w:t>
            </w:r>
          </w:p>
        </w:tc>
        <w:tc>
          <w:tcPr>
            <w:tcW w:w="1191"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ind w:left="0" w:leftChars="0" w:firstLine="0" w:firstLineChars="0"/>
              <w:rPr>
                <w:b w:val="0"/>
                <w:color w:val="000000"/>
              </w:rPr>
            </w:pPr>
            <w:r>
              <w:rPr>
                <w:b w:val="0"/>
                <w:color w:val="000000"/>
                <w:sz w:val="24"/>
                <w:szCs w:val="24"/>
              </w:rPr>
              <w:t>D*W*H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40" w:hRule="atLeast"/>
          <w:tblCellSpacing w:w="0" w:type="dxa"/>
          <w:jc w:val="center"/>
        </w:trPr>
        <w:tc>
          <w:tcPr>
            <w:tcW w:w="1074" w:type="dxa"/>
            <w:vMerge w:val="continue"/>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rPr>
                <w:rFonts w:hint="eastAsia" w:ascii="宋体"/>
                <w:b w:val="0"/>
                <w:color w:val="000000"/>
                <w:sz w:val="24"/>
                <w:szCs w:val="24"/>
              </w:rPr>
            </w:pPr>
          </w:p>
        </w:tc>
        <w:tc>
          <w:tcPr>
            <w:tcW w:w="186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72" w:type="dxa"/>
              <w:left w:w="144" w:type="dxa"/>
              <w:bottom w:w="72" w:type="dxa"/>
              <w:right w:w="144" w:type="dxa"/>
            </w:tcMar>
            <w:vAlign w:val="center"/>
          </w:tcPr>
          <w:p>
            <w:pPr>
              <w:rPr>
                <w:rFonts w:hint="eastAsia" w:ascii="宋体"/>
                <w:b w:val="0"/>
                <w:color w:val="000000"/>
                <w:sz w:val="24"/>
                <w:szCs w:val="24"/>
              </w:rPr>
            </w:pPr>
          </w:p>
        </w:tc>
        <w:tc>
          <w:tcPr>
            <w:tcW w:w="2670"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重量[kg]</w:t>
            </w:r>
          </w:p>
        </w:tc>
        <w:tc>
          <w:tcPr>
            <w:tcW w:w="1785"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2200kg</w:t>
            </w:r>
          </w:p>
        </w:tc>
        <w:tc>
          <w:tcPr>
            <w:tcW w:w="1191" w:type="dxa"/>
            <w:tcBorders>
              <w:top w:val="single" w:color="000000" w:sz="4" w:space="0"/>
              <w:left w:val="single" w:color="000000" w:sz="4" w:space="0"/>
              <w:bottom w:val="single" w:color="000000" w:sz="4" w:space="0"/>
              <w:right w:val="single" w:color="000000" w:sz="4" w:space="0"/>
            </w:tcBorders>
            <w:shd w:val="clear" w:color="auto" w:fill="FFFFFF"/>
            <w:tcMar>
              <w:left w:w="30" w:type="dxa"/>
              <w:right w:w="30" w:type="dxa"/>
            </w:tcMar>
            <w:vAlign w:val="center"/>
          </w:tcPr>
          <w:p>
            <w:pPr>
              <w:pStyle w:val="8"/>
              <w:keepNext w:val="0"/>
              <w:keepLines w:val="0"/>
              <w:widowControl/>
              <w:suppressLineNumbers w:val="0"/>
              <w:rPr>
                <w:b w:val="0"/>
                <w:color w:val="000000"/>
              </w:rPr>
            </w:pPr>
            <w:r>
              <w:rPr>
                <w:b w:val="0"/>
                <w:color w:val="000000"/>
                <w:sz w:val="24"/>
                <w:szCs w:val="24"/>
              </w:rPr>
              <w:t> </w:t>
            </w:r>
          </w:p>
        </w:tc>
      </w:tr>
    </w:tbl>
    <w:p>
      <w:pPr>
        <w:numPr>
          <w:ilvl w:val="0"/>
          <w:numId w:val="0"/>
        </w:numPr>
        <w:jc w:val="left"/>
        <w:outlineLvl w:val="0"/>
        <w:rPr>
          <w:rFonts w:hint="eastAsia" w:ascii="宋体" w:hAnsi="宋体" w:eastAsia="宋体" w:cs="宋体"/>
          <w:b/>
          <w:bCs/>
          <w:lang w:val="en-US" w:eastAsia="zh-CN"/>
        </w:rPr>
      </w:pPr>
      <w:bookmarkStart w:id="5" w:name="_Toc8182"/>
    </w:p>
    <w:p>
      <w:pPr>
        <w:numPr>
          <w:ilvl w:val="0"/>
          <w:numId w:val="0"/>
        </w:numPr>
        <w:jc w:val="left"/>
        <w:outlineLvl w:val="0"/>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5、运营模式</w:t>
      </w:r>
      <w:bookmarkEnd w:id="5"/>
    </w:p>
    <w:p>
      <w:pPr>
        <w:numPr>
          <w:ilvl w:val="0"/>
          <w:numId w:val="0"/>
        </w:numPr>
        <w:jc w:val="center"/>
        <w:rPr>
          <w:rFonts w:hint="default" w:ascii="宋体" w:hAnsi="宋体" w:eastAsia="宋体" w:cs="宋体"/>
          <w:b w:val="0"/>
          <w:bCs w:val="0"/>
          <w:sz w:val="22"/>
          <w:szCs w:val="20"/>
          <w:highlight w:val="yellow"/>
          <w:lang w:val="en-US" w:eastAsia="zh-CN"/>
        </w:rPr>
      </w:pPr>
      <w:r>
        <w:rPr>
          <w:rFonts w:hint="eastAsia" w:ascii="宋体" w:hAnsi="宋体" w:eastAsia="宋体" w:cs="宋体"/>
          <w:b w:val="0"/>
          <w:bCs w:val="0"/>
          <w:sz w:val="22"/>
          <w:szCs w:val="20"/>
          <w:lang w:val="en-US" w:eastAsia="zh-CN"/>
        </w:rPr>
        <w:t>常规时间峰平谷电价分布时段计运行策略（1-6月，10-12月）</w:t>
      </w:r>
    </w:p>
    <w:p>
      <w:pPr>
        <w:numPr>
          <w:ilvl w:val="0"/>
          <w:numId w:val="0"/>
        </w:numPr>
        <w:jc w:val="center"/>
        <w:rPr>
          <w:rFonts w:hint="default" w:eastAsiaTheme="minorEastAsia"/>
          <w:lang w:val="en-US" w:eastAsia="zh-CN"/>
        </w:rPr>
      </w:pPr>
      <w:r>
        <w:rPr>
          <w:rFonts w:hint="eastAsia"/>
          <w:lang w:val="en-US" w:eastAsia="zh-CN"/>
        </w:rPr>
        <w:t>{{@bar1}}</w:t>
      </w:r>
    </w:p>
    <w:p>
      <w:pPr>
        <w:numPr>
          <w:ilvl w:val="0"/>
          <w:numId w:val="0"/>
        </w:numPr>
        <w:jc w:val="center"/>
        <w:rPr>
          <w:rFonts w:hint="default" w:ascii="宋体" w:hAnsi="宋体" w:eastAsia="宋体" w:cs="宋体"/>
          <w:b w:val="0"/>
          <w:bCs w:val="0"/>
          <w:sz w:val="22"/>
          <w:szCs w:val="20"/>
          <w:lang w:val="en-US" w:eastAsia="zh-CN"/>
        </w:rPr>
      </w:pPr>
      <w:r>
        <w:rPr>
          <w:rFonts w:hint="eastAsia" w:ascii="宋体" w:hAnsi="宋体" w:eastAsia="宋体" w:cs="宋体"/>
          <w:b w:val="0"/>
          <w:bCs w:val="0"/>
          <w:sz w:val="22"/>
          <w:szCs w:val="20"/>
          <w:lang w:val="en-US" w:eastAsia="zh-CN"/>
        </w:rPr>
        <w:t>尖期用电设立时段（7-9月以及其他月份35℃高温天气）</w:t>
      </w:r>
    </w:p>
    <w:p>
      <w:pPr>
        <w:numPr>
          <w:ilvl w:val="0"/>
          <w:numId w:val="0"/>
        </w:numPr>
        <w:jc w:val="center"/>
        <w:rPr>
          <w:rFonts w:hint="default" w:eastAsiaTheme="minorEastAsia"/>
          <w:lang w:val="en-US" w:eastAsia="zh-CN"/>
        </w:rPr>
      </w:pPr>
      <w:r>
        <w:rPr>
          <w:rFonts w:hint="eastAsia"/>
          <w:lang w:val="en-US" w:eastAsia="zh-CN"/>
        </w:rPr>
        <w:t>{{@bar2}}</w:t>
      </w:r>
      <w:bookmarkStart w:id="7" w:name="_GoBack"/>
      <w:bookmarkEnd w:id="7"/>
    </w:p>
    <w:p>
      <w:pPr>
        <w:numPr>
          <w:ilvl w:val="0"/>
          <w:numId w:val="0"/>
        </w:numPr>
        <w:ind w:firstLine="420" w:firstLineChars="0"/>
        <w:jc w:val="left"/>
        <w:rPr>
          <w:rFonts w:hint="default"/>
          <w:lang w:val="en-US" w:eastAsia="zh-CN"/>
        </w:rPr>
      </w:pPr>
    </w:p>
    <w:p>
      <w:pPr>
        <w:numPr>
          <w:ilvl w:val="0"/>
          <w:numId w:val="0"/>
        </w:numPr>
        <w:jc w:val="left"/>
        <w:rPr>
          <w:rFonts w:hint="default"/>
          <w:sz w:val="28"/>
          <w:szCs w:val="22"/>
          <w:lang w:val="en-US" w:eastAsia="zh-CN"/>
        </w:rPr>
      </w:pPr>
      <w:r>
        <w:rPr>
          <w:rFonts w:hint="eastAsia"/>
          <w:sz w:val="28"/>
          <w:szCs w:val="22"/>
          <w:lang w:val="en-US" w:eastAsia="zh-CN"/>
        </w:rPr>
        <w:t>（1）运行策略</w:t>
      </w:r>
    </w:p>
    <w:p>
      <w:pPr>
        <w:numPr>
          <w:ilvl w:val="0"/>
          <w:numId w:val="0"/>
        </w:numPr>
        <w:ind w:firstLine="420" w:firstLineChars="0"/>
        <w:jc w:val="left"/>
        <w:rPr>
          <w:rFonts w:hint="eastAsia"/>
          <w:sz w:val="28"/>
          <w:szCs w:val="22"/>
          <w:lang w:val="en-US" w:eastAsia="zh-CN"/>
        </w:rPr>
      </w:pPr>
      <w:r>
        <w:rPr>
          <w:rFonts w:hint="eastAsia"/>
          <w:sz w:val="28"/>
          <w:szCs w:val="22"/>
          <w:lang w:val="en-US" w:eastAsia="zh-CN"/>
        </w:rPr>
        <w:t>结合当前分时电价政策，进行以下每日充放电设计：</w:t>
      </w:r>
    </w:p>
    <w:p>
      <w:pPr>
        <w:numPr>
          <w:ilvl w:val="0"/>
          <w:numId w:val="0"/>
        </w:numPr>
        <w:ind w:firstLine="420" w:firstLineChars="0"/>
        <w:jc w:val="left"/>
        <w:rPr>
          <w:rFonts w:hint="eastAsia"/>
          <w:sz w:val="28"/>
          <w:szCs w:val="22"/>
          <w:lang w:val="en-US" w:eastAsia="zh-CN"/>
        </w:rPr>
      </w:pPr>
      <w:r>
        <w:rPr>
          <w:rFonts w:hint="eastAsia"/>
          <w:b/>
          <w:bCs/>
          <w:sz w:val="28"/>
          <w:szCs w:val="22"/>
          <w:lang w:val="en-US" w:eastAsia="zh-CN"/>
        </w:rPr>
        <w:t>第一充：</w:t>
      </w:r>
      <w:r>
        <w:rPr>
          <w:rFonts w:hint="eastAsia"/>
          <w:sz w:val="28"/>
          <w:szCs w:val="22"/>
          <w:lang w:val="en-US" w:eastAsia="zh-CN"/>
        </w:rPr>
        <w:t>00:00-8:00点8小时谷期低电价低功率慢充蓄电；</w:t>
      </w:r>
    </w:p>
    <w:p>
      <w:pPr>
        <w:numPr>
          <w:ilvl w:val="0"/>
          <w:numId w:val="0"/>
        </w:numPr>
        <w:ind w:firstLine="420" w:firstLineChars="0"/>
        <w:jc w:val="left"/>
        <w:rPr>
          <w:rFonts w:hint="eastAsia"/>
          <w:sz w:val="28"/>
          <w:szCs w:val="22"/>
          <w:lang w:val="en-US" w:eastAsia="zh-CN"/>
        </w:rPr>
      </w:pPr>
      <w:r>
        <w:rPr>
          <w:rFonts w:hint="eastAsia"/>
          <w:b/>
          <w:bCs/>
          <w:sz w:val="28"/>
          <w:szCs w:val="22"/>
          <w:lang w:val="en-US" w:eastAsia="zh-CN"/>
        </w:rPr>
        <w:t>第一放：</w:t>
      </w:r>
      <w:r>
        <w:rPr>
          <w:rFonts w:hint="eastAsia"/>
          <w:sz w:val="28"/>
          <w:szCs w:val="22"/>
          <w:lang w:val="en-US" w:eastAsia="zh-CN"/>
        </w:rPr>
        <w:t>10:00-12:00点2小时峰期（夏季迎峰时期11:00-12:00为尖期）满功率快放供电；</w:t>
      </w:r>
    </w:p>
    <w:p>
      <w:pPr>
        <w:numPr>
          <w:ilvl w:val="0"/>
          <w:numId w:val="0"/>
        </w:numPr>
        <w:ind w:firstLine="420" w:firstLineChars="0"/>
        <w:jc w:val="left"/>
        <w:rPr>
          <w:rFonts w:hint="eastAsia"/>
          <w:sz w:val="28"/>
          <w:szCs w:val="22"/>
          <w:lang w:val="en-US" w:eastAsia="zh-CN"/>
        </w:rPr>
      </w:pPr>
      <w:r>
        <w:rPr>
          <w:rFonts w:hint="eastAsia"/>
          <w:b/>
          <w:bCs/>
          <w:sz w:val="28"/>
          <w:szCs w:val="22"/>
          <w:lang w:val="en-US" w:eastAsia="zh-CN"/>
        </w:rPr>
        <w:t>第二充：</w:t>
      </w:r>
      <w:r>
        <w:rPr>
          <w:rFonts w:hint="eastAsia"/>
          <w:sz w:val="28"/>
          <w:szCs w:val="22"/>
          <w:lang w:val="en-US" w:eastAsia="zh-CN"/>
        </w:rPr>
        <w:t>12:00-14:00点2小时平期，满功率快充蓄电；</w:t>
      </w:r>
    </w:p>
    <w:p>
      <w:pPr>
        <w:numPr>
          <w:ilvl w:val="0"/>
          <w:numId w:val="0"/>
        </w:numPr>
        <w:ind w:firstLine="420" w:firstLineChars="0"/>
        <w:jc w:val="left"/>
        <w:rPr>
          <w:rFonts w:hint="eastAsia"/>
          <w:sz w:val="28"/>
          <w:szCs w:val="22"/>
          <w:lang w:val="en-US" w:eastAsia="zh-CN"/>
        </w:rPr>
      </w:pPr>
      <w:r>
        <w:rPr>
          <w:rFonts w:hint="eastAsia"/>
          <w:b/>
          <w:bCs/>
          <w:sz w:val="28"/>
          <w:szCs w:val="22"/>
          <w:lang w:val="en-US" w:eastAsia="zh-CN"/>
        </w:rPr>
        <w:t>第二放：</w:t>
      </w:r>
      <w:r>
        <w:rPr>
          <w:rFonts w:hint="eastAsia"/>
          <w:sz w:val="28"/>
          <w:szCs w:val="22"/>
          <w:lang w:val="en-US" w:eastAsia="zh-CN"/>
        </w:rPr>
        <w:t>14:00-19:00点5小时峰期低功率慢放供电（夏季迎</w:t>
      </w:r>
      <w:r>
        <w:rPr>
          <w:rFonts w:hint="eastAsia"/>
          <w:sz w:val="28"/>
          <w:szCs w:val="22"/>
          <w:lang w:val="en-US" w:eastAsia="zh-CN"/>
        </w:rPr>
        <w:tab/>
      </w:r>
      <w:r>
        <w:rPr>
          <w:rFonts w:hint="eastAsia"/>
          <w:sz w:val="28"/>
          <w:szCs w:val="22"/>
          <w:lang w:val="en-US" w:eastAsia="zh-CN"/>
        </w:rPr>
        <w:t>峰</w:t>
      </w:r>
      <w:r>
        <w:rPr>
          <w:rFonts w:hint="eastAsia"/>
          <w:sz w:val="28"/>
          <w:szCs w:val="22"/>
          <w:lang w:val="en-US" w:eastAsia="zh-CN"/>
        </w:rPr>
        <w:tab/>
      </w:r>
      <w:r>
        <w:rPr>
          <w:rFonts w:hint="eastAsia"/>
          <w:sz w:val="28"/>
          <w:szCs w:val="22"/>
          <w:lang w:val="en-US" w:eastAsia="zh-CN"/>
        </w:rPr>
        <w:t>时期15:00-17:00为尖期，调整为快速放电）</w:t>
      </w:r>
    </w:p>
    <w:p>
      <w:pPr>
        <w:numPr>
          <w:ilvl w:val="0"/>
          <w:numId w:val="0"/>
        </w:numPr>
        <w:jc w:val="left"/>
        <w:rPr>
          <w:rFonts w:hint="eastAsia"/>
          <w:sz w:val="28"/>
          <w:szCs w:val="22"/>
          <w:lang w:val="en-US" w:eastAsia="zh-CN"/>
        </w:rPr>
      </w:pPr>
      <w:r>
        <w:rPr>
          <w:rFonts w:hint="eastAsia"/>
          <w:sz w:val="28"/>
          <w:szCs w:val="22"/>
          <w:lang w:val="en-US" w:eastAsia="zh-CN"/>
        </w:rPr>
        <w:t>以此循环，每日两充两放，峰谷套利，双方共享，降低企业电力成本。</w:t>
      </w:r>
    </w:p>
    <w:p>
      <w:pPr>
        <w:numPr>
          <w:ilvl w:val="0"/>
          <w:numId w:val="0"/>
        </w:numPr>
        <w:jc w:val="left"/>
        <w:outlineLvl w:val="1"/>
        <w:rPr>
          <w:rFonts w:hint="eastAsia"/>
          <w:b/>
          <w:bCs/>
          <w:sz w:val="28"/>
          <w:szCs w:val="22"/>
          <w:lang w:val="en-US" w:eastAsia="zh-CN"/>
        </w:rPr>
      </w:pPr>
      <w:bookmarkStart w:id="6" w:name="_Toc29755"/>
      <w:r>
        <w:rPr>
          <w:rFonts w:hint="eastAsia"/>
          <w:b w:val="0"/>
          <w:bCs w:val="0"/>
          <w:sz w:val="28"/>
          <w:szCs w:val="22"/>
          <w:lang w:val="en-US" w:eastAsia="zh-CN"/>
        </w:rPr>
        <w:t>（2）虚拟电厂/需求侧响应</w:t>
      </w:r>
      <w:bookmarkEnd w:id="6"/>
    </w:p>
    <w:p>
      <w:pPr>
        <w:numPr>
          <w:ilvl w:val="0"/>
          <w:numId w:val="0"/>
        </w:numPr>
        <w:ind w:firstLine="420" w:firstLineChars="0"/>
        <w:jc w:val="left"/>
        <w:rPr>
          <w:rFonts w:hint="eastAsia"/>
          <w:b w:val="0"/>
          <w:bCs w:val="0"/>
          <w:sz w:val="28"/>
          <w:szCs w:val="22"/>
          <w:lang w:val="en-US" w:eastAsia="zh-CN"/>
        </w:rPr>
      </w:pPr>
      <w:r>
        <w:rPr>
          <w:rFonts w:hint="eastAsia"/>
          <w:b w:val="0"/>
          <w:bCs w:val="0"/>
          <w:sz w:val="28"/>
          <w:szCs w:val="22"/>
          <w:lang w:val="en-US" w:eastAsia="zh-CN"/>
        </w:rPr>
        <w:t>a）‘虚拟电厂’是指运用能源互联网技术，把电网中散落的充电桩、空调、储能等电力负荷整合起来，变成具有一定规模、可调节负荷资源。它可实现待定时段内的负荷调节，保证电网的安全稳定运行，又可以‘削峰填谷’，提升电网的经济运行水平，释放土地资源、促进节能减排方面作用明显。未来集中用户侧储能参与虚拟电厂负荷调控获取相关收益，增加双方共享收益。</w:t>
      </w:r>
    </w:p>
    <w:p>
      <w:pPr>
        <w:numPr>
          <w:ilvl w:val="0"/>
          <w:numId w:val="0"/>
        </w:numPr>
        <w:ind w:firstLine="420" w:firstLineChars="0"/>
        <w:jc w:val="left"/>
        <w:rPr>
          <w:rFonts w:hint="eastAsia"/>
          <w:b w:val="0"/>
          <w:bCs w:val="0"/>
          <w:sz w:val="28"/>
          <w:szCs w:val="22"/>
          <w:lang w:val="en-US" w:eastAsia="zh-CN"/>
        </w:rPr>
      </w:pPr>
      <w:r>
        <w:rPr>
          <w:rFonts w:hint="eastAsia"/>
          <w:b w:val="0"/>
          <w:bCs w:val="0"/>
          <w:sz w:val="28"/>
          <w:szCs w:val="22"/>
          <w:lang w:val="en-US" w:eastAsia="zh-CN"/>
        </w:rPr>
        <w:t>b）夏季迎峰时刻按照能源局发布电力负荷响应需求，利用储能进行应邀放电完成应邀响应，获取相关收益，进一步增大双共享收益。</w:t>
      </w:r>
    </w:p>
    <w:p>
      <w:pPr>
        <w:numPr>
          <w:ilvl w:val="0"/>
          <w:numId w:val="0"/>
        </w:numPr>
        <w:jc w:val="left"/>
        <w:outlineLvl w:val="0"/>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6、建设投资</w:t>
      </w:r>
    </w:p>
    <w:p>
      <w:pPr>
        <w:numPr>
          <w:ilvl w:val="0"/>
          <w:numId w:val="0"/>
        </w:numPr>
        <w:ind w:firstLine="420" w:firstLineChars="0"/>
        <w:jc w:val="left"/>
        <w:outlineLvl w:val="0"/>
        <w:rPr>
          <w:rFonts w:hint="eastAsia" w:ascii="宋体" w:hAnsi="宋体" w:eastAsia="宋体" w:cs="宋体"/>
          <w:sz w:val="28"/>
          <w:szCs w:val="28"/>
          <w:highlight w:val="none"/>
          <w:lang w:val="en-US" w:eastAsia="zh-CN"/>
        </w:rPr>
      </w:pPr>
      <w:r>
        <w:rPr>
          <w:rFonts w:hint="eastAsia" w:ascii="宋体" w:hAnsi="宋体" w:eastAsia="宋体" w:cs="宋体"/>
          <w:b w:val="0"/>
          <w:bCs w:val="0"/>
          <w:sz w:val="28"/>
          <w:szCs w:val="28"/>
          <w:highlight w:val="none"/>
          <w:lang w:val="en-US" w:eastAsia="zh-CN"/>
        </w:rPr>
        <w:t>本项目预计建设储能系统{{T(com.rosenzest.electric.util.BigDecimalUtil).roundHalfUp(power.t4a,0)}}</w:t>
      </w:r>
      <w:r>
        <w:rPr>
          <w:rFonts w:hint="eastAsia" w:ascii="宋体" w:hAnsi="宋体" w:eastAsia="宋体" w:cs="宋体"/>
          <w:sz w:val="28"/>
          <w:szCs w:val="28"/>
          <w:highlight w:val="none"/>
          <w:lang w:val="en-US" w:eastAsia="zh-CN"/>
        </w:rPr>
        <w:t>kW/{{T(com.rosenzest.electric.util.BigDecimalUtil).roundHalfUp(power.t4b,0)}}kWh，总造价在{{T(com.rosenzest.electric.util.BigDecimalUtil).roundHalfUp(project.cost,2)}}万人民币左右，主要包括设备费用、安装施工及材料等组成。其中储能设备为核心部分，主要向储能集成商进行集采。而储能系统中最为核心的为电芯部分，成本占到储能设备自身70%左右，目前储能设备主要采用宁德时代、比亚迪、亿维锂能等头部品牌电芯，以保障储能设备的安全性和稳定性。施工安装费主要包括储能设备混凝土基础、电缆沟、电缆、电气设备等组成。</w:t>
      </w:r>
    </w:p>
    <w:p>
      <w:pPr>
        <w:numPr>
          <w:ilvl w:val="0"/>
          <w:numId w:val="0"/>
        </w:numPr>
        <w:jc w:val="left"/>
        <w:outlineLvl w:val="0"/>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7、项目案例</w:t>
      </w:r>
    </w:p>
    <w:p>
      <w:pPr>
        <w:numPr>
          <w:ilvl w:val="0"/>
          <w:numId w:val="0"/>
        </w:numPr>
        <w:ind w:firstLine="560" w:firstLineChars="200"/>
        <w:jc w:val="left"/>
        <w:outlineLvl w:val="0"/>
        <w:rPr>
          <w:rFonts w:hint="eastAsia" w:ascii="宋体" w:hAnsi="宋体" w:eastAsia="宋体" w:cs="宋体"/>
          <w:b/>
          <w:bCs/>
          <w:sz w:val="28"/>
          <w:szCs w:val="28"/>
          <w:lang w:val="en-US" w:eastAsia="zh-CN"/>
        </w:rPr>
      </w:pPr>
      <w:r>
        <w:rPr>
          <w:rFonts w:hint="eastAsia" w:ascii="宋体" w:hAnsi="宋体" w:eastAsia="宋体" w:cs="宋体"/>
          <w:b w:val="0"/>
          <w:bCs w:val="0"/>
          <w:sz w:val="28"/>
          <w:szCs w:val="28"/>
          <w:lang w:val="en-US" w:eastAsia="zh-CN"/>
        </w:rPr>
        <w:t>（1）深圳市某金属加工厂，用户主要以金属制品加工、销售为主。该项目位于深圳市龙岗区平湖街道，储能系统总装机容量为200kW/430kWh，采用100kW/215kWh标准储能柜2台，分别接入用户2台630kVA变压器下端低压侧并网，该合作用户年用电量超500万度，用电负荷较为饱满。储能系统设备不仅能够为该用户降低用电成本，同时在用电高峰期能够为用户带来200kw的动态增容。</w:t>
      </w:r>
    </w:p>
    <w:p>
      <w:pPr>
        <w:numPr>
          <w:ilvl w:val="0"/>
          <w:numId w:val="0"/>
        </w:numPr>
        <w:jc w:val="left"/>
        <w:outlineLvl w:val="0"/>
        <w:rPr>
          <w:rFonts w:hint="default" w:ascii="宋体" w:hAnsi="宋体" w:eastAsia="宋体" w:cs="宋体"/>
          <w:b/>
          <w:bCs/>
          <w:sz w:val="28"/>
          <w:szCs w:val="28"/>
          <w:lang w:val="en-US" w:eastAsia="zh-CN"/>
        </w:rPr>
      </w:pPr>
      <w:r>
        <w:drawing>
          <wp:anchor distT="0" distB="0" distL="114300" distR="114300" simplePos="0" relativeHeight="251661312" behindDoc="1" locked="0" layoutInCell="1" allowOverlap="1">
            <wp:simplePos x="0" y="0"/>
            <wp:positionH relativeFrom="column">
              <wp:posOffset>261620</wp:posOffset>
            </wp:positionH>
            <wp:positionV relativeFrom="paragraph">
              <wp:posOffset>488315</wp:posOffset>
            </wp:positionV>
            <wp:extent cx="4933950" cy="4030345"/>
            <wp:effectExtent l="69850" t="15875" r="25400" b="0"/>
            <wp:wrapTight wrapText="bothSides">
              <wp:wrapPolygon>
                <wp:start x="-306" y="-85"/>
                <wp:lineTo x="-306" y="21865"/>
                <wp:lineTo x="21544" y="21865"/>
                <wp:lineTo x="21544" y="-85"/>
                <wp:lineTo x="-306" y="-85"/>
              </wp:wrapPolygon>
            </wp:wrapTight>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9"/>
                    <a:stretch>
                      <a:fillRect/>
                    </a:stretch>
                  </pic:blipFill>
                  <pic:spPr>
                    <a:xfrm>
                      <a:off x="0" y="0"/>
                      <a:ext cx="4933950" cy="4030345"/>
                    </a:xfrm>
                    <a:prstGeom prst="rect">
                      <a:avLst/>
                    </a:prstGeom>
                    <a:effectLst>
                      <a:outerShdw blurRad="50800" dist="38100" dir="8100000" algn="tr" rotWithShape="0">
                        <a:prstClr val="black">
                          <a:alpha val="40000"/>
                        </a:prstClr>
                      </a:outerShdw>
                    </a:effectLst>
                  </pic:spPr>
                </pic:pic>
              </a:graphicData>
            </a:graphic>
          </wp:anchor>
        </w:drawing>
      </w: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1"/>
        </w:numPr>
        <w:jc w:val="left"/>
        <w:outlineLvl w:val="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东莞某投资有限公司，该用户公司为产业园结构，入驻企业主要以金属机床加工、销售为主。项目位于东莞市厚街镇，储能系统总装机容量为500kW/1075kWh，分别采用3台100kW/215kWh储能设备接入用户2000kVA变压器下端低压侧、2台100kW/215kWh储能设备接入用户1600kVA变压器下端低压侧。该合作用户年用电量超1000万度，用电负荷较为饱满。储能系统设备不仅能够为该用户降低用电成本，同时在用电高峰期能够为用户带来500kw的动态增容。</w:t>
      </w:r>
    </w:p>
    <w:p>
      <w:pPr>
        <w:numPr>
          <w:ilvl w:val="0"/>
          <w:numId w:val="0"/>
        </w:numPr>
        <w:jc w:val="left"/>
        <w:outlineLvl w:val="0"/>
        <w:rPr>
          <w:rFonts w:hint="default" w:ascii="宋体" w:hAnsi="宋体" w:eastAsia="宋体" w:cs="宋体"/>
          <w:b/>
          <w:bCs/>
          <w:sz w:val="28"/>
          <w:szCs w:val="28"/>
          <w:lang w:val="en-US" w:eastAsia="zh-CN"/>
        </w:rPr>
      </w:pPr>
    </w:p>
    <w:p>
      <w:pPr>
        <w:numPr>
          <w:ilvl w:val="0"/>
          <w:numId w:val="0"/>
        </w:numPr>
        <w:jc w:val="left"/>
        <w:outlineLvl w:val="0"/>
        <w:rPr>
          <w:rFonts w:hint="default" w:ascii="宋体" w:hAnsi="宋体" w:eastAsia="宋体" w:cs="宋体"/>
          <w:b/>
          <w:bCs/>
          <w:sz w:val="28"/>
          <w:szCs w:val="28"/>
          <w:lang w:val="en-US" w:eastAsia="zh-CN"/>
        </w:rPr>
      </w:pPr>
      <w:r>
        <w:drawing>
          <wp:anchor distT="0" distB="0" distL="114300" distR="114300" simplePos="0" relativeHeight="251662336" behindDoc="1" locked="0" layoutInCell="1" allowOverlap="1">
            <wp:simplePos x="0" y="0"/>
            <wp:positionH relativeFrom="column">
              <wp:posOffset>140970</wp:posOffset>
            </wp:positionH>
            <wp:positionV relativeFrom="paragraph">
              <wp:posOffset>139700</wp:posOffset>
            </wp:positionV>
            <wp:extent cx="5015230" cy="3987800"/>
            <wp:effectExtent l="0" t="0" r="13970" b="0"/>
            <wp:wrapTight wrapText="bothSides">
              <wp:wrapPolygon>
                <wp:start x="0" y="0"/>
                <wp:lineTo x="0" y="21462"/>
                <wp:lineTo x="21496" y="21462"/>
                <wp:lineTo x="21496" y="0"/>
                <wp:lineTo x="0" y="0"/>
              </wp:wrapPolygon>
            </wp:wrapTight>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0"/>
                    <a:stretch>
                      <a:fillRect/>
                    </a:stretch>
                  </pic:blipFill>
                  <pic:spPr>
                    <a:xfrm>
                      <a:off x="0" y="0"/>
                      <a:ext cx="5015230" cy="3987800"/>
                    </a:xfrm>
                    <a:prstGeom prst="rect">
                      <a:avLst/>
                    </a:prstGeom>
                  </pic:spPr>
                </pic:pic>
              </a:graphicData>
            </a:graphic>
          </wp:anchor>
        </w:drawing>
      </w:r>
    </w:p>
    <w:p>
      <w:pPr>
        <w:numPr>
          <w:ilvl w:val="0"/>
          <w:numId w:val="0"/>
        </w:numPr>
        <w:jc w:val="both"/>
        <w:rPr>
          <w:rFonts w:hint="default"/>
          <w:lang w:val="en-US" w:eastAsia="zh-CN"/>
        </w:rPr>
      </w:pPr>
    </w:p>
    <w:p>
      <w:pPr>
        <w:numPr>
          <w:ilvl w:val="0"/>
          <w:numId w:val="0"/>
        </w:numPr>
        <w:jc w:val="left"/>
        <w:outlineLvl w:val="0"/>
        <w:rPr>
          <w:rFonts w:hint="default"/>
          <w:lang w:val="en-US" w:eastAsia="zh-CN"/>
        </w:rPr>
      </w:pPr>
      <w:r>
        <w:rPr>
          <w:rFonts w:hint="eastAsia" w:ascii="宋体" w:hAnsi="宋体" w:eastAsia="宋体" w:cs="宋体"/>
          <w:b/>
          <w:bCs/>
          <w:sz w:val="28"/>
          <w:szCs w:val="28"/>
          <w:lang w:val="en-US" w:eastAsia="zh-CN"/>
        </w:rPr>
        <w:t>8、公司简介</w:t>
      </w:r>
    </w:p>
    <w:p>
      <w:pPr>
        <w:bidi w:val="0"/>
        <w:ind w:firstLine="831" w:firstLineChars="300"/>
        <w:rPr>
          <w:rFonts w:hint="eastAsia" w:ascii="宋体" w:hAnsi="宋体" w:eastAsia="宋体" w:cs="宋体"/>
          <w:spacing w:val="-2"/>
          <w:sz w:val="28"/>
          <w:szCs w:val="28"/>
        </w:rPr>
      </w:pPr>
      <w:r>
        <w:rPr>
          <w:rFonts w:hint="eastAsia" w:ascii="宋体" w:hAnsi="宋体" w:eastAsia="宋体" w:cs="宋体"/>
          <w:b/>
          <w:bCs/>
          <w:spacing w:val="-2"/>
          <w:sz w:val="28"/>
          <w:szCs w:val="28"/>
        </w:rPr>
        <w:t>深圳华建电力科技集团有限公司</w:t>
      </w:r>
      <w:r>
        <w:rPr>
          <w:rFonts w:hint="eastAsia" w:ascii="宋体" w:hAnsi="宋体" w:eastAsia="宋体" w:cs="宋体"/>
          <w:spacing w:val="-2"/>
          <w:sz w:val="28"/>
          <w:szCs w:val="28"/>
        </w:rPr>
        <w:t>创建于 2014 年，是一家深耕电力相关行业、专注为客户提供城市供用电综合技术解决方案的企业。公司业务涵盖“电力设计及施工”、“电力及消防安全检测、设施维保、节能改造”、“售电”、“光储充等新能源技术应用”四大板块。</w:t>
      </w:r>
    </w:p>
    <w:p>
      <w:pPr>
        <w:bidi w:val="0"/>
        <w:ind w:firstLine="552" w:firstLineChars="200"/>
        <w:rPr>
          <w:rFonts w:hint="eastAsia" w:ascii="宋体" w:hAnsi="宋体" w:eastAsia="宋体" w:cs="宋体"/>
          <w:spacing w:val="-2"/>
          <w:sz w:val="28"/>
          <w:szCs w:val="28"/>
        </w:rPr>
      </w:pPr>
      <w:r>
        <w:rPr>
          <w:rFonts w:hint="eastAsia" w:ascii="宋体" w:hAnsi="宋体" w:eastAsia="宋体" w:cs="宋体"/>
          <w:spacing w:val="-2"/>
          <w:sz w:val="28"/>
          <w:szCs w:val="28"/>
        </w:rPr>
        <w:t>公司控股子公司</w:t>
      </w:r>
      <w:r>
        <w:rPr>
          <w:rFonts w:hint="eastAsia" w:ascii="宋体" w:hAnsi="宋体" w:eastAsia="宋体" w:cs="宋体"/>
          <w:b/>
          <w:bCs/>
          <w:spacing w:val="-2"/>
          <w:sz w:val="28"/>
          <w:szCs w:val="28"/>
        </w:rPr>
        <w:t>深圳华建综合能源技术有限公司</w:t>
      </w:r>
      <w:r>
        <w:rPr>
          <w:rFonts w:hint="eastAsia" w:ascii="宋体" w:hAnsi="宋体" w:eastAsia="宋体" w:cs="宋体"/>
          <w:spacing w:val="-2"/>
          <w:sz w:val="28"/>
          <w:szCs w:val="28"/>
        </w:rPr>
        <w:t>聚焦于售电业务和光伏、储能、充电桩投资运营等综合能源业务的开发与管理。拥有深圳、珠三角五市、惠州七个分公司，上千家工商业用户，深度了解企业用电痛点，可有效解决企业用电成本高、容量不足、减排压力大等用电问题。深圳富华消防电力安全技术有限公司与深圳华建电力工程技术有限公司，专注于全方面解决企业用电安全检测、消防检测、电力改造等用电问题。</w:t>
      </w:r>
    </w:p>
    <w:p>
      <w:pPr>
        <w:numPr>
          <w:ilvl w:val="0"/>
          <w:numId w:val="0"/>
        </w:numPr>
        <w:ind w:firstLine="828" w:firstLineChars="300"/>
        <w:jc w:val="both"/>
        <w:rPr>
          <w:rFonts w:hint="eastAsia" w:ascii="宋体" w:hAnsi="宋体" w:eastAsia="宋体" w:cs="宋体"/>
          <w:spacing w:val="-2"/>
          <w:sz w:val="28"/>
          <w:szCs w:val="28"/>
        </w:rPr>
      </w:pPr>
      <w:r>
        <w:rPr>
          <w:rFonts w:hint="eastAsia" w:ascii="宋体" w:hAnsi="宋体" w:eastAsia="宋体" w:cs="宋体"/>
          <w:spacing w:val="-2"/>
          <w:sz w:val="28"/>
          <w:szCs w:val="28"/>
        </w:rPr>
        <w:t>华建电力人将秉承“优质、共赢、以客户为中心”的服务理念，与时俱进、开拓创新，为更多的合作伙伴提供更优质的服务！为客户、为社会创造最大的价值！</w:t>
      </w:r>
    </w:p>
    <w:p>
      <w:pPr>
        <w:numPr>
          <w:ilvl w:val="0"/>
          <w:numId w:val="0"/>
        </w:numPr>
        <w:jc w:val="both"/>
        <w:rPr>
          <w:rFonts w:hint="eastAsia" w:ascii="宋体" w:hAnsi="宋体" w:eastAsia="宋体" w:cs="宋体"/>
          <w:spacing w:val="-2"/>
          <w:sz w:val="28"/>
          <w:szCs w:val="28"/>
        </w:rPr>
      </w:pPr>
      <w:r>
        <w:drawing>
          <wp:inline distT="0" distB="0" distL="114300" distR="114300">
            <wp:extent cx="5309235" cy="3134360"/>
            <wp:effectExtent l="0" t="0" r="12065"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1"/>
                    <a:srcRect r="9327"/>
                    <a:stretch>
                      <a:fillRect/>
                    </a:stretch>
                  </pic:blipFill>
                  <pic:spPr>
                    <a:xfrm rot="21600000">
                      <a:off x="0" y="0"/>
                      <a:ext cx="5309235" cy="3134360"/>
                    </a:xfrm>
                    <a:prstGeom prst="rect">
                      <a:avLst/>
                    </a:prstGeom>
                  </pic:spPr>
                </pic:pic>
              </a:graphicData>
            </a:graphic>
          </wp:inline>
        </w:drawing>
      </w:r>
    </w:p>
    <w:p>
      <w:pPr>
        <w:numPr>
          <w:ilvl w:val="0"/>
          <w:numId w:val="0"/>
        </w:numPr>
        <w:jc w:val="both"/>
      </w:pPr>
      <w:r>
        <w:drawing>
          <wp:inline distT="0" distB="0" distL="114300" distR="114300">
            <wp:extent cx="5266055" cy="3682365"/>
            <wp:effectExtent l="9525" t="9525" r="20320" b="228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6055" cy="3682365"/>
                    </a:xfrm>
                    <a:prstGeom prst="rect">
                      <a:avLst/>
                    </a:prstGeom>
                    <a:noFill/>
                    <a:ln>
                      <a:solidFill>
                        <a:schemeClr val="tx2">
                          <a:lumMod val="20000"/>
                          <a:lumOff val="80000"/>
                        </a:schemeClr>
                      </a:solidFill>
                    </a:ln>
                  </pic:spPr>
                </pic:pic>
              </a:graphicData>
            </a:graphic>
          </wp:inline>
        </w:drawing>
      </w:r>
    </w:p>
    <w:p>
      <w:pPr>
        <w:numPr>
          <w:ilvl w:val="0"/>
          <w:numId w:val="0"/>
        </w:numPr>
        <w:jc w:val="both"/>
      </w:pPr>
    </w:p>
    <w:p>
      <w:pPr>
        <w:numPr>
          <w:ilvl w:val="0"/>
          <w:numId w:val="0"/>
        </w:numPr>
        <w:jc w:val="both"/>
        <w:rPr>
          <w:rFonts w:hint="default"/>
          <w:lang w:val="en-US" w:eastAsia="zh-CN"/>
        </w:rPr>
      </w:pPr>
      <w:r>
        <w:drawing>
          <wp:inline distT="0" distB="0" distL="114300" distR="114300">
            <wp:extent cx="5265420" cy="3862705"/>
            <wp:effectExtent l="9525" t="9525" r="2095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5265420" cy="3862705"/>
                    </a:xfrm>
                    <a:prstGeom prst="rect">
                      <a:avLst/>
                    </a:prstGeom>
                    <a:noFill/>
                    <a:ln>
                      <a:solidFill>
                        <a:schemeClr val="tx2">
                          <a:lumMod val="20000"/>
                          <a:lumOff val="80000"/>
                        </a:schemeClr>
                      </a:solidFill>
                    </a:ln>
                  </pic:spPr>
                </pic:pic>
              </a:graphicData>
            </a:graphic>
          </wp:inline>
        </w:drawing>
      </w:r>
    </w:p>
    <w:sectPr>
      <w:footerReference r:id="rId5" w:type="default"/>
      <w:pgSz w:w="11906" w:h="16838"/>
      <w:pgMar w:top="1440" w:right="1800" w:bottom="1440" w:left="1800" w:header="851" w:footer="992" w:gutter="0"/>
      <w:pgNumType w:fmt="decimal"/>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640"/>
      </w:pPr>
      <w:r>
        <w:separator/>
      </w:r>
    </w:p>
  </w:endnote>
  <w:endnote w:type="continuationSeparator" w:id="1">
    <w:p>
      <w:pPr>
        <w:spacing w:line="240" w:lineRule="auto"/>
        <w:ind w:firstLine="6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新細明體">
    <w:altName w:val="宋体-繁"/>
    <w:panose1 w:val="02020500000000000000"/>
    <w:charset w:val="86"/>
    <w:family w:val="roman"/>
    <w:pitch w:val="default"/>
    <w:sig w:usb0="A00002FF" w:usb1="28CFFCFA" w:usb2="00000016" w:usb3="00000000" w:csb0="00100001" w:csb1="00000000"/>
  </w:font>
  <w:font w:name="Arial">
    <w:panose1 w:val="020B0704020202090204"/>
    <w:charset w:val="00"/>
    <w:family w:val="swiss"/>
    <w:pitch w:val="default"/>
    <w:sig w:usb0="E0000EFF" w:usb1="4000785B" w:usb2="00000001" w:usb3="00000000" w:csb0="400001BF" w:csb1="DFF70000"/>
  </w:font>
  <w:font w:name="Courier New">
    <w:panose1 w:val="02070609020205020404"/>
    <w:charset w:val="00"/>
    <w:family w:val="modern"/>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細明體">
    <w:altName w:val="苹方-简"/>
    <w:panose1 w:val="02020509000000000000"/>
    <w:charset w:val="00"/>
    <w:family w:val="modern"/>
    <w:pitch w:val="default"/>
    <w:sig w:usb0="A00002FF" w:usb1="28CFFCFA" w:usb2="00000016" w:usb3="00000000" w:csb0="00100001" w:csb1="00000000"/>
  </w:font>
  <w:font w:name="Calibri">
    <w:panose1 w:val="020F0502020204030204"/>
    <w:charset w:val="00"/>
    <w:family w:val="swiss"/>
    <w:pitch w:val="default"/>
    <w:sig w:usb0="E0002AFF" w:usb1="C000247B" w:usb2="00000009" w:usb3="00000000" w:csb0="200001FF" w:csb1="00000000"/>
  </w:font>
  <w:font w:name="新細明體">
    <w:altName w:val="宋体-繁"/>
    <w:panose1 w:val="00000000000000000000"/>
    <w:charset w:val="86"/>
    <w:family w:val="auto"/>
    <w:pitch w:val="default"/>
    <w:sig w:usb0="00000000" w:usb1="00000000" w:usb2="00000000" w:usb3="00000000" w:csb0="00000000" w:csb1="00000000"/>
  </w:font>
  <w:font w:name="幼圆">
    <w:altName w:val="华文宋体"/>
    <w:panose1 w:val="02010509060101010101"/>
    <w:charset w:val="86"/>
    <w:family w:val="auto"/>
    <w:pitch w:val="default"/>
    <w:sig w:usb0="00000000" w:usb1="00000000" w:usb2="00000000" w:usb3="00000000" w:csb0="00040000" w:csb1="00000000"/>
  </w:font>
  <w:font w:name="等线">
    <w:altName w:val="汉仪中等线KW"/>
    <w:panose1 w:val="02010600030101010101"/>
    <w:charset w:val="86"/>
    <w:family w:val="auto"/>
    <w:pitch w:val="default"/>
    <w:sig w:usb0="00000000" w:usb1="00000000" w:usb2="00000016" w:usb3="00000000" w:csb0="0004000F" w:csb1="00000000"/>
  </w:font>
  <w:font w:name="华文宋体">
    <w:panose1 w:val="02010600040101010101"/>
    <w:charset w:val="86"/>
    <w:family w:val="auto"/>
    <w:pitch w:val="default"/>
    <w:sig w:usb0="80000287" w:usb1="280F3C52" w:usb2="00000016" w:usb3="00000000" w:csb0="0004001F" w:csb1="00000000"/>
  </w:font>
  <w:font w:name="汉仪中等线KW">
    <w:panose1 w:val="01010104010101010101"/>
    <w:charset w:val="86"/>
    <w:family w:val="auto"/>
    <w:pitch w:val="default"/>
    <w:sig w:usb0="800002BF" w:usb1="004F7CFA" w:usb2="00000000" w:usb3="00000000" w:csb0="00040001" w:csb1="00000000"/>
  </w:font>
  <w:font w:name="宋体-简">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文本框 4"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6jDgrMgIAAGEEAAAOAAAAZHJz&#10;L2Uyb0RvYy54bWytVM2O0zAQviPxDpbvNGlZ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UaKZQsFP37+dfvw6/fxKrqI8rfUzRD1YxIXurenQNMO5x2Fk3VVOxS/4EPgh&#10;7vEirugC4fHSdDKd5nBx+IYN8LPH69b58E4YRaJRUIfqJVHZYeNDHzqExGzarBspUwWlJm1Br1+/&#10;ydOFiwfgUiNHJNE/Nlqh23ZnZltTHkHMmb4zvOXrBsk3zId75tAKeDCGJdxhqaRBEnO2KKmN+/Kv&#10;8xiPCsFLSYvWKqjGJFEi32tUDoBhMNxgbAdD79WtQa+OMYSWJxMXXJCDWTmjPmOCljEHXExzZCpo&#10;GMzb0Lc3JpCL5TIF7a1rdnV/AX1nWdjoB8tjmiikt8t9gJhJ4yhQr8pZN3ReqtJ5SmJr/7lPUY9/&#10;hs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FgAAAGRycy9QSwECFAAUAAAACACHTuJAs0lY7tAAAAAFAQAADwAAAAAAAAABACAAAAA4AAAA&#10;ZHJzL2Rvd25yZXYueG1sUEsBAhQAFAAAAAgAh07iQLqMOCsyAgAAYQQAAA4AAAAAAAAAAQAgAAAA&#10;NQEAAGRycy9lMm9Eb2MueG1sUEsFBgAAAAAGAAYAWQEAANk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640"/>
      </w:pPr>
      <w:r>
        <w:separator/>
      </w:r>
    </w:p>
  </w:footnote>
  <w:footnote w:type="continuationSeparator" w:id="1">
    <w:p>
      <w:pPr>
        <w:spacing w:line="360" w:lineRule="auto"/>
        <w:ind w:firstLine="64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A2E539E"/>
    <w:multiLevelType w:val="singleLevel"/>
    <w:tmpl w:val="DA2E539E"/>
    <w:lvl w:ilvl="0" w:tentative="0">
      <w:start w:val="2"/>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2"/>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k5ODM0YmMxOWJiYWQyNDU4MGIzYWRmYTA0ZmI5NDcifQ=="/>
  </w:docVars>
  <w:rsids>
    <w:rsidRoot w:val="3DC464D0"/>
    <w:rsid w:val="016035CC"/>
    <w:rsid w:val="0A454A85"/>
    <w:rsid w:val="0C980C60"/>
    <w:rsid w:val="0CFD1647"/>
    <w:rsid w:val="0F6459AD"/>
    <w:rsid w:val="12DA75E5"/>
    <w:rsid w:val="15DB44F0"/>
    <w:rsid w:val="16AB2114"/>
    <w:rsid w:val="205A7BAF"/>
    <w:rsid w:val="2786250D"/>
    <w:rsid w:val="28B906C0"/>
    <w:rsid w:val="2FE029D7"/>
    <w:rsid w:val="30C145B6"/>
    <w:rsid w:val="312608BD"/>
    <w:rsid w:val="334F40FB"/>
    <w:rsid w:val="345B6AD0"/>
    <w:rsid w:val="34CB4C87"/>
    <w:rsid w:val="38C25019"/>
    <w:rsid w:val="3AB87D2D"/>
    <w:rsid w:val="3DC464D0"/>
    <w:rsid w:val="3EB16C6C"/>
    <w:rsid w:val="45CB4451"/>
    <w:rsid w:val="490948F4"/>
    <w:rsid w:val="496062FA"/>
    <w:rsid w:val="4C7622A1"/>
    <w:rsid w:val="4E4D5283"/>
    <w:rsid w:val="4FFE4A87"/>
    <w:rsid w:val="52AF02BB"/>
    <w:rsid w:val="52FF2C9C"/>
    <w:rsid w:val="554505BD"/>
    <w:rsid w:val="558E065B"/>
    <w:rsid w:val="56695277"/>
    <w:rsid w:val="5E5E0457"/>
    <w:rsid w:val="615C785F"/>
    <w:rsid w:val="62E13562"/>
    <w:rsid w:val="63770981"/>
    <w:rsid w:val="63CD35D4"/>
    <w:rsid w:val="63FE69AC"/>
    <w:rsid w:val="64EB777F"/>
    <w:rsid w:val="65BB12B8"/>
    <w:rsid w:val="6694184A"/>
    <w:rsid w:val="68C83A2C"/>
    <w:rsid w:val="6EBFFE72"/>
    <w:rsid w:val="7326D178"/>
    <w:rsid w:val="74534AF2"/>
    <w:rsid w:val="76AF9976"/>
    <w:rsid w:val="78DF73EF"/>
    <w:rsid w:val="7A155DD9"/>
    <w:rsid w:val="7D755AF3"/>
    <w:rsid w:val="7E8E40C0"/>
    <w:rsid w:val="7F7B4D7A"/>
    <w:rsid w:val="E6DA185D"/>
    <w:rsid w:val="F5DFE793"/>
    <w:rsid w:val="FDF5C4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883" w:firstLineChars="200"/>
      <w:jc w:val="both"/>
    </w:pPr>
    <w:rPr>
      <w:rFonts w:asciiTheme="minorAscii" w:hAnsiTheme="minorAscii" w:eastAsiaTheme="minorEastAsia" w:cstheme="minorBidi"/>
      <w:kern w:val="2"/>
      <w:sz w:val="32"/>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Body Text"/>
    <w:basedOn w:val="1"/>
    <w:semiHidden/>
    <w:qFormat/>
    <w:uiPriority w:val="0"/>
    <w:rPr>
      <w:rFonts w:ascii="Arial" w:hAnsi="Arial" w:eastAsia="Arial" w:cs="Arial"/>
      <w:sz w:val="21"/>
      <w:szCs w:val="21"/>
      <w:lang w:val="en-US" w:eastAsia="en-US" w:bidi="ar-SA"/>
    </w:rPr>
  </w:style>
  <w:style w:type="paragraph" w:styleId="7">
    <w:name w:val="footer"/>
    <w:basedOn w:val="1"/>
    <w:qFormat/>
    <w:uiPriority w:val="0"/>
    <w:pPr>
      <w:tabs>
        <w:tab w:val="center" w:pos="4153"/>
        <w:tab w:val="right" w:pos="8306"/>
      </w:tabs>
      <w:snapToGrid w:val="0"/>
      <w:jc w:val="left"/>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paragraph" w:customStyle="1" w:styleId="9">
    <w:name w:val="WPSOffice手动目录 1"/>
    <w:qFormat/>
    <w:uiPriority w:val="0"/>
    <w:pPr>
      <w:ind w:leftChars="0"/>
    </w:pPr>
    <w:rPr>
      <w:rFonts w:ascii="Times New Roman" w:hAnsi="Times New Roman" w:eastAsia="宋体" w:cs="Times New Roman"/>
      <w:sz w:val="20"/>
      <w:szCs w:val="20"/>
    </w:rPr>
  </w:style>
  <w:style w:type="paragraph" w:customStyle="1" w:styleId="10">
    <w:name w:val="WPSOffice手动目录 2"/>
    <w:qFormat/>
    <w:uiPriority w:val="0"/>
    <w:pPr>
      <w:ind w:leftChars="200"/>
    </w:pPr>
    <w:rPr>
      <w:rFonts w:ascii="Times New Roman" w:hAnsi="Times New Roman" w:eastAsia="宋体" w:cs="Times New Roman"/>
      <w:sz w:val="20"/>
      <w:szCs w:val="20"/>
    </w:rPr>
  </w:style>
  <w:style w:type="paragraph" w:customStyle="1" w:styleId="11">
    <w:name w:val="Table Text"/>
    <w:basedOn w:val="1"/>
    <w:semiHidden/>
    <w:qFormat/>
    <w:uiPriority w:val="0"/>
    <w:rPr>
      <w:rFonts w:ascii="宋体" w:hAnsi="宋体" w:eastAsia="宋体" w:cs="宋体"/>
      <w:sz w:val="24"/>
      <w:szCs w:val="24"/>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customXml" Target="../customXml/item1.xml"/><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Pages>
  <Words>2538</Words>
  <Characters>3174</Characters>
  <Lines>0</Lines>
  <Paragraphs>0</Paragraphs>
  <TotalTime>2</TotalTime>
  <ScaleCrop>false</ScaleCrop>
  <LinksUpToDate>false</LinksUpToDate>
  <CharactersWithSpaces>3196</CharactersWithSpaces>
  <Application>WPS Office_6.7.1.8828_F1E327BC-269C-435d-A152-05C5408002CA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2024-07-03T09:00:00Z</dcterms:created>
  <dc:creator>Aisidesi One</dc:creator>
  <cp:lastModifiedBy>FrontTang</cp:lastModifiedBy>
  <dcterms:modified xsi:type="dcterms:W3CDTF">2024-09-29T13:12:28Z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1028-6.7.1.8828</vt:lpwstr>
  </property>
  <property fmtid="{D5CDD505-2E9C-101B-9397-08002B2CF9AE}" pid="3" name="ICV">
    <vt:lpwstr>AA92937299443710E66AF766A85D2875_43</vt:lpwstr>
  </property>
</Properties>
</file>